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61CF" w14:textId="19A177B7" w:rsidR="00F74230" w:rsidRPr="00F74230" w:rsidRDefault="00F74230" w:rsidP="00F74230">
      <w:pPr>
        <w:pStyle w:val="Titre1"/>
      </w:pPr>
      <w:r w:rsidRPr="00F74230">
        <w:t xml:space="preserve">Sommaire de </w:t>
      </w:r>
      <w:r w:rsidRPr="00F74230">
        <w:rPr>
          <w:i/>
          <w:iCs/>
        </w:rPr>
        <w:t>La nouvelle revue de l’adaptation et de la scolarisation</w:t>
      </w:r>
      <w:r w:rsidRPr="00F74230">
        <w:t xml:space="preserve">, </w:t>
      </w:r>
      <w:r>
        <w:br/>
      </w:r>
      <w:r w:rsidRPr="00F74230">
        <w:t>numéro double 70-71 (2</w:t>
      </w:r>
      <w:r w:rsidRPr="00F74230">
        <w:rPr>
          <w:rFonts w:cs="Times New Roman (Titres CS)"/>
          <w:vertAlign w:val="superscript"/>
        </w:rPr>
        <w:t>e</w:t>
      </w:r>
      <w:r w:rsidRPr="00F74230">
        <w:t xml:space="preserve"> trimestre 2015)</w:t>
      </w:r>
    </w:p>
    <w:p w14:paraId="2907FDC5" w14:textId="77777777" w:rsidR="00F74230" w:rsidRPr="00F74230" w:rsidRDefault="00F74230" w:rsidP="00F74230">
      <w:r w:rsidRPr="00F74230">
        <w:t>Éditorial. Hervé Benoit</w:t>
      </w:r>
    </w:p>
    <w:p w14:paraId="329F318E" w14:textId="77777777" w:rsidR="00F74230" w:rsidRPr="00F74230" w:rsidRDefault="00F74230" w:rsidP="002C23E7">
      <w:pPr>
        <w:pStyle w:val="Titre2"/>
      </w:pPr>
      <w:r w:rsidRPr="00F74230">
        <w:t>Le dossier : « Conceptions, pratiques et formations inclusives dans l’espace francophone (France, Suisse, Belgique, Québec) »</w:t>
      </w:r>
    </w:p>
    <w:p w14:paraId="203CE267" w14:textId="77777777" w:rsidR="00F74230" w:rsidRPr="00F74230" w:rsidRDefault="00F74230" w:rsidP="00F74230">
      <w:r w:rsidRPr="00F74230">
        <w:t xml:space="preserve">Présentation du dossier. Isabelle </w:t>
      </w:r>
      <w:proofErr w:type="spellStart"/>
      <w:r w:rsidRPr="00F74230">
        <w:t>Nédélec-Trohel</w:t>
      </w:r>
      <w:proofErr w:type="spellEnd"/>
      <w:r w:rsidRPr="00F74230">
        <w:t xml:space="preserve">, Line Numa-Bocage, Jean-Claude </w:t>
      </w:r>
      <w:proofErr w:type="spellStart"/>
      <w:r w:rsidRPr="00F74230">
        <w:t>Kalubi</w:t>
      </w:r>
      <w:proofErr w:type="spellEnd"/>
    </w:p>
    <w:p w14:paraId="5AC64206" w14:textId="77777777" w:rsidR="00F74230" w:rsidRPr="00F74230" w:rsidRDefault="00F74230" w:rsidP="00F74230">
      <w:r w:rsidRPr="00F74230">
        <w:t>Normes, École et handicap : la notion d’inclusion en éducation. Jean-Michel Perez</w:t>
      </w:r>
    </w:p>
    <w:p w14:paraId="02DFD602" w14:textId="77777777" w:rsidR="00F74230" w:rsidRPr="00F74230" w:rsidRDefault="00F74230" w:rsidP="00F74230">
      <w:r w:rsidRPr="00F74230">
        <w:t>Différenciation et traitement scolaire des différences. Sabine Kahn</w:t>
      </w:r>
    </w:p>
    <w:p w14:paraId="6021C339" w14:textId="6C9E367B" w:rsidR="00F74230" w:rsidRPr="00F74230" w:rsidRDefault="00F74230" w:rsidP="00F74230">
      <w:r w:rsidRPr="00F74230">
        <w:t>Inclusion scolaire et transformation des dispositifs de scolarisation des élèves</w:t>
      </w:r>
      <w:r w:rsidR="00AA687A">
        <w:t xml:space="preserve"> </w:t>
      </w:r>
      <w:r w:rsidRPr="00F74230">
        <w:t>à besoins spécifiques. Philippe Tremblay</w:t>
      </w:r>
    </w:p>
    <w:p w14:paraId="0A4B39E7" w14:textId="52FFB282" w:rsidR="00F74230" w:rsidRPr="00F74230" w:rsidRDefault="00F74230" w:rsidP="00F74230">
      <w:r w:rsidRPr="00F74230">
        <w:t xml:space="preserve">La question de la scolarisation dans les établissements spécialisés en </w:t>
      </w:r>
      <w:r w:rsidR="00E947C5">
        <w:t>France </w:t>
      </w:r>
      <w:r w:rsidRPr="00F74230">
        <w:t xml:space="preserve">:1975-2009. Catherine </w:t>
      </w:r>
      <w:proofErr w:type="spellStart"/>
      <w:r w:rsidRPr="00F74230">
        <w:t>Dorison</w:t>
      </w:r>
      <w:proofErr w:type="spellEnd"/>
    </w:p>
    <w:p w14:paraId="02F91562" w14:textId="77777777" w:rsidR="00F74230" w:rsidRPr="00F74230" w:rsidRDefault="00F74230" w:rsidP="00F74230">
      <w:r w:rsidRPr="00F74230">
        <w:t xml:space="preserve">De l’intégration à l’inclusion Quelques exemples d’évolution dans l’accueil en classe ordinaire à l’école et au collège des élèves en situation de handicap. Christine </w:t>
      </w:r>
      <w:proofErr w:type="spellStart"/>
      <w:r w:rsidRPr="00F74230">
        <w:t>Berzin</w:t>
      </w:r>
      <w:proofErr w:type="spellEnd"/>
    </w:p>
    <w:p w14:paraId="28B60880" w14:textId="439159F6" w:rsidR="00F74230" w:rsidRPr="00F74230" w:rsidRDefault="00F74230" w:rsidP="00F74230">
      <w:r w:rsidRPr="00F74230">
        <w:t>Dispositif d’aide à l’inclusion : collaboration entre coordonnatrice d’Ulis</w:t>
      </w:r>
      <w:r w:rsidR="004F63BB">
        <w:t xml:space="preserve"> </w:t>
      </w:r>
      <w:r w:rsidRPr="00F74230">
        <w:t xml:space="preserve">et professeur de géographie en 4e de collège. Isabelle </w:t>
      </w:r>
      <w:proofErr w:type="spellStart"/>
      <w:r w:rsidRPr="00F74230">
        <w:t>Nédélec-Trohel</w:t>
      </w:r>
      <w:proofErr w:type="spellEnd"/>
    </w:p>
    <w:p w14:paraId="6A70DD4F" w14:textId="77777777" w:rsidR="00F74230" w:rsidRPr="00F74230" w:rsidRDefault="00F74230" w:rsidP="00F74230">
      <w:r w:rsidRPr="00F74230">
        <w:t xml:space="preserve">Le </w:t>
      </w:r>
      <w:proofErr w:type="spellStart"/>
      <w:r w:rsidRPr="00F74230">
        <w:t>coenseignement</w:t>
      </w:r>
      <w:proofErr w:type="spellEnd"/>
      <w:r w:rsidRPr="00F74230">
        <w:t xml:space="preserve"> en primaire : rôles respectifs des enseignants ordinaires et spécialisés. Philippe Tremblay</w:t>
      </w:r>
    </w:p>
    <w:p w14:paraId="06E70322" w14:textId="77777777" w:rsidR="00F74230" w:rsidRPr="00F74230" w:rsidRDefault="00F74230" w:rsidP="00F74230">
      <w:r w:rsidRPr="00F74230">
        <w:t>Définir la fonction d’enseignant-ressource dans le secondaire : une recherche-action formation. Nancy Granger, France Dubé</w:t>
      </w:r>
    </w:p>
    <w:p w14:paraId="676FE440" w14:textId="77777777" w:rsidR="00F74230" w:rsidRPr="00F74230" w:rsidRDefault="00F74230" w:rsidP="00F74230">
      <w:r w:rsidRPr="00F74230">
        <w:t xml:space="preserve">L’école inclusive comme objet frontière. Serge </w:t>
      </w:r>
      <w:proofErr w:type="spellStart"/>
      <w:r w:rsidRPr="00F74230">
        <w:t>Thomazet</w:t>
      </w:r>
      <w:proofErr w:type="spellEnd"/>
      <w:r w:rsidRPr="00F74230">
        <w:t xml:space="preserve">, Corinne </w:t>
      </w:r>
      <w:proofErr w:type="spellStart"/>
      <w:r w:rsidRPr="00F74230">
        <w:t>Mérini</w:t>
      </w:r>
      <w:proofErr w:type="spellEnd"/>
    </w:p>
    <w:p w14:paraId="4A944E3B" w14:textId="77777777" w:rsidR="00F74230" w:rsidRPr="00F74230" w:rsidRDefault="00F74230" w:rsidP="00F74230">
      <w:r w:rsidRPr="00F74230">
        <w:t xml:space="preserve">Des besoins particuliers des élèves aux besoins de formation des professionnels : l’exemple de la déficience visuelle. Nathalie </w:t>
      </w:r>
      <w:proofErr w:type="spellStart"/>
      <w:r w:rsidRPr="00F74230">
        <w:t>Lewi</w:t>
      </w:r>
      <w:proofErr w:type="spellEnd"/>
      <w:r w:rsidRPr="00F74230">
        <w:t>-Dumont</w:t>
      </w:r>
    </w:p>
    <w:p w14:paraId="368A0540" w14:textId="77777777" w:rsidR="00F74230" w:rsidRPr="00F74230" w:rsidRDefault="00F74230" w:rsidP="00F74230">
      <w:r w:rsidRPr="00F74230">
        <w:t>Capacités d’apprentissage et besoins spécifiques des élèves porteurs du syndrome de Williams. Claire Touchet</w:t>
      </w:r>
    </w:p>
    <w:p w14:paraId="67F83D97" w14:textId="77777777" w:rsidR="00F74230" w:rsidRPr="00F74230" w:rsidRDefault="00F74230" w:rsidP="00F74230">
      <w:r w:rsidRPr="00F74230">
        <w:t>Apprentissages mathématiques avec les jeux de société et médiation didactique auprès d’élèves en difficulté. Line Numa-Bocage, Magali Bieri</w:t>
      </w:r>
    </w:p>
    <w:p w14:paraId="395FC5CA" w14:textId="77777777" w:rsidR="00F74230" w:rsidRPr="00F74230" w:rsidRDefault="00F74230" w:rsidP="00F74230">
      <w:r w:rsidRPr="00F74230">
        <w:t xml:space="preserve">Approche didactique en orthopédagogie des mathématiques dans le cadre d’un partenariat. Jacinthe Giroux, </w:t>
      </w:r>
      <w:proofErr w:type="spellStart"/>
      <w:r w:rsidRPr="00F74230">
        <w:t>Anik</w:t>
      </w:r>
      <w:proofErr w:type="spellEnd"/>
      <w:r w:rsidRPr="00F74230">
        <w:t xml:space="preserve"> Ste-Marie </w:t>
      </w:r>
    </w:p>
    <w:p w14:paraId="2A339A7F" w14:textId="77777777" w:rsidR="00F74230" w:rsidRPr="00F74230" w:rsidRDefault="00F74230" w:rsidP="00F74230">
      <w:r w:rsidRPr="00F74230">
        <w:t>Les dispositifs hors classe, pour un accompagnement des élèves en difficultés. Cédric Aït-Ali</w:t>
      </w:r>
    </w:p>
    <w:p w14:paraId="4D470A56" w14:textId="77777777" w:rsidR="00F74230" w:rsidRPr="00F74230" w:rsidRDefault="00F74230" w:rsidP="00921DAD">
      <w:pPr>
        <w:pStyle w:val="Titre2"/>
      </w:pPr>
      <w:r w:rsidRPr="00F74230">
        <w:t>Chronique de l’international</w:t>
      </w:r>
    </w:p>
    <w:p w14:paraId="396459E9" w14:textId="77777777" w:rsidR="00F74230" w:rsidRPr="00F74230" w:rsidRDefault="00F74230" w:rsidP="00F74230">
      <w:r w:rsidRPr="00F74230">
        <w:t xml:space="preserve">L’école inclusive comme facteur de promotion du comportement </w:t>
      </w:r>
      <w:proofErr w:type="spellStart"/>
      <w:r w:rsidRPr="00F74230">
        <w:t>prosocial</w:t>
      </w:r>
      <w:proofErr w:type="spellEnd"/>
      <w:r w:rsidRPr="00F74230">
        <w:t xml:space="preserve">. Grazia Lombardi, Carlo Ricci, Lucia de Anna, Charles </w:t>
      </w:r>
      <w:proofErr w:type="spellStart"/>
      <w:r w:rsidRPr="00F74230">
        <w:t>Gardou</w:t>
      </w:r>
      <w:proofErr w:type="spellEnd"/>
      <w:r w:rsidRPr="00F74230">
        <w:t xml:space="preserve">, Robert Roche </w:t>
      </w:r>
      <w:proofErr w:type="spellStart"/>
      <w:r w:rsidRPr="00F74230">
        <w:t>Olivar</w:t>
      </w:r>
      <w:proofErr w:type="spellEnd"/>
    </w:p>
    <w:p w14:paraId="59DA2339" w14:textId="77777777" w:rsidR="00F74230" w:rsidRPr="00F74230" w:rsidRDefault="00F74230" w:rsidP="00921DAD">
      <w:pPr>
        <w:pStyle w:val="Titre2"/>
      </w:pPr>
      <w:r w:rsidRPr="00F74230">
        <w:lastRenderedPageBreak/>
        <w:t>Études et formations</w:t>
      </w:r>
    </w:p>
    <w:p w14:paraId="20862AE9" w14:textId="77777777" w:rsidR="00F74230" w:rsidRPr="00F74230" w:rsidRDefault="00F74230" w:rsidP="00F74230">
      <w:r w:rsidRPr="00F74230">
        <w:t>Perspectives d’une approche motivationnelle par la remédiation cognitive dans l’apprentissage du français. Claude-Alexandre Magot</w:t>
      </w:r>
    </w:p>
    <w:p w14:paraId="5628E105" w14:textId="77777777" w:rsidR="00F74230" w:rsidRPr="00F74230" w:rsidRDefault="00F74230" w:rsidP="00921DAD">
      <w:pPr>
        <w:pStyle w:val="Titre2"/>
      </w:pPr>
      <w:r w:rsidRPr="00F74230">
        <w:t>Pédagogie et psychopédagogie</w:t>
      </w:r>
    </w:p>
    <w:p w14:paraId="794D5561" w14:textId="2552185C" w:rsidR="00F74230" w:rsidRPr="00F74230" w:rsidRDefault="00F74230" w:rsidP="00F74230">
      <w:r w:rsidRPr="00F74230">
        <w:t>Contribution professionnelle :</w:t>
      </w:r>
      <w:r w:rsidR="00921DAD">
        <w:t xml:space="preserve"> </w:t>
      </w:r>
      <w:r w:rsidRPr="00F74230">
        <w:t xml:space="preserve">L’accompagnement précoce de très jeunes enfants sourds. Patrick </w:t>
      </w:r>
      <w:proofErr w:type="spellStart"/>
      <w:r w:rsidRPr="00F74230">
        <w:t>Masri</w:t>
      </w:r>
      <w:proofErr w:type="spellEnd"/>
    </w:p>
    <w:p w14:paraId="26D15EE7" w14:textId="77777777" w:rsidR="00F74230" w:rsidRPr="00F74230" w:rsidRDefault="00F74230" w:rsidP="00921DAD">
      <w:pPr>
        <w:pStyle w:val="Titre2"/>
      </w:pPr>
      <w:r w:rsidRPr="00F74230">
        <w:t>NTIC</w:t>
      </w:r>
    </w:p>
    <w:p w14:paraId="493296B7" w14:textId="3A3513A0" w:rsidR="00F74230" w:rsidRPr="00F74230" w:rsidRDefault="00F74230" w:rsidP="00F74230">
      <w:r w:rsidRPr="00F74230">
        <w:t>Contribution professionnelle :</w:t>
      </w:r>
      <w:r w:rsidR="004F63BB">
        <w:t xml:space="preserve"> </w:t>
      </w:r>
      <w:r w:rsidRPr="00F74230">
        <w:t xml:space="preserve">Le Guide pour l’information accessible, une ressource éducative en ligne, libre et collaborative pour l’inclusion scolaire Mélanie Petit, Cristina </w:t>
      </w:r>
      <w:proofErr w:type="spellStart"/>
      <w:r w:rsidRPr="00F74230">
        <w:t>Popescu</w:t>
      </w:r>
      <w:proofErr w:type="spellEnd"/>
    </w:p>
    <w:p w14:paraId="34CCB94E" w14:textId="77777777" w:rsidR="00F74230" w:rsidRPr="00F74230" w:rsidRDefault="00F74230" w:rsidP="00921DAD">
      <w:pPr>
        <w:pStyle w:val="Titre2"/>
      </w:pPr>
      <w:r w:rsidRPr="00F74230">
        <w:t xml:space="preserve">Politiques </w:t>
      </w:r>
      <w:r w:rsidRPr="00921DAD">
        <w:t>et</w:t>
      </w:r>
      <w:r w:rsidRPr="00F74230">
        <w:t xml:space="preserve"> institutions éducatives</w:t>
      </w:r>
    </w:p>
    <w:p w14:paraId="2CEDC279" w14:textId="77777777" w:rsidR="00F74230" w:rsidRPr="00F74230" w:rsidRDefault="00F74230" w:rsidP="00F74230">
      <w:r w:rsidRPr="00F74230">
        <w:t xml:space="preserve">Violences latentes et pratiques inclusives à l’école. Christian </w:t>
      </w:r>
      <w:proofErr w:type="spellStart"/>
      <w:r w:rsidRPr="00F74230">
        <w:t>Sarralié</w:t>
      </w:r>
      <w:proofErr w:type="spellEnd"/>
    </w:p>
    <w:p w14:paraId="384A6D54" w14:textId="77777777" w:rsidR="00F74230" w:rsidRPr="00F74230" w:rsidRDefault="00F74230" w:rsidP="00F74230">
      <w:r w:rsidRPr="00F74230">
        <w:t>Lire, voir, entendre</w:t>
      </w:r>
    </w:p>
    <w:p w14:paraId="1A511366" w14:textId="77777777" w:rsidR="00F74230" w:rsidRPr="00F74230" w:rsidRDefault="00F74230" w:rsidP="00921DAD">
      <w:pPr>
        <w:pStyle w:val="Titre2"/>
      </w:pPr>
      <w:r w:rsidRPr="00F74230">
        <w:t>Comptes rendus de lecture</w:t>
      </w:r>
    </w:p>
    <w:p w14:paraId="3361E867" w14:textId="77777777" w:rsidR="00F74230" w:rsidRPr="00F74230" w:rsidRDefault="00F74230" w:rsidP="00F74230">
      <w:r w:rsidRPr="00F74230">
        <w:t>Parutions récentes</w:t>
      </w:r>
    </w:p>
    <w:p w14:paraId="1BE51400" w14:textId="213EB220" w:rsidR="00090002" w:rsidRPr="00F74230" w:rsidRDefault="00F74230" w:rsidP="00F74230">
      <w:r w:rsidRPr="00F74230">
        <w:t>Ressources documentaires pour les enseignements adaptés et l’éducation des jeunes handicapés ou en difficulté :</w:t>
      </w:r>
      <w:r w:rsidR="004F63BB">
        <w:t xml:space="preserve"> </w:t>
      </w:r>
      <w:r w:rsidRPr="00F74230">
        <w:t>Communication. Codes de communication. Thérèse Barbier</w:t>
      </w:r>
    </w:p>
    <w:sectPr w:rsidR="00090002" w:rsidRPr="00F74230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B52" w14:textId="77777777" w:rsidR="00C120EA" w:rsidRDefault="00C120EA" w:rsidP="00A37094">
      <w:pPr>
        <w:spacing w:after="0"/>
      </w:pPr>
      <w:r>
        <w:separator/>
      </w:r>
    </w:p>
  </w:endnote>
  <w:endnote w:type="continuationSeparator" w:id="0">
    <w:p w14:paraId="240EECD3" w14:textId="77777777" w:rsidR="00C120EA" w:rsidRDefault="00C120EA" w:rsidP="00A37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BEFB" w14:textId="77777777" w:rsidR="00C120EA" w:rsidRDefault="00C120EA" w:rsidP="00A37094">
      <w:pPr>
        <w:spacing w:after="0"/>
      </w:pPr>
      <w:r>
        <w:separator/>
      </w:r>
    </w:p>
  </w:footnote>
  <w:footnote w:type="continuationSeparator" w:id="0">
    <w:p w14:paraId="60B0178A" w14:textId="77777777" w:rsidR="00C120EA" w:rsidRDefault="00C120EA" w:rsidP="00A37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90002"/>
    <w:rsid w:val="000A3A23"/>
    <w:rsid w:val="000B023F"/>
    <w:rsid w:val="000C7CCE"/>
    <w:rsid w:val="000D051A"/>
    <w:rsid w:val="000E464E"/>
    <w:rsid w:val="00105C75"/>
    <w:rsid w:val="001074FA"/>
    <w:rsid w:val="0011776D"/>
    <w:rsid w:val="00122C70"/>
    <w:rsid w:val="0013297A"/>
    <w:rsid w:val="00142D22"/>
    <w:rsid w:val="00150D5A"/>
    <w:rsid w:val="00156315"/>
    <w:rsid w:val="00166C2D"/>
    <w:rsid w:val="00173715"/>
    <w:rsid w:val="001D4102"/>
    <w:rsid w:val="001E015C"/>
    <w:rsid w:val="001F5F0F"/>
    <w:rsid w:val="002102C0"/>
    <w:rsid w:val="002237BF"/>
    <w:rsid w:val="00224528"/>
    <w:rsid w:val="00273CE1"/>
    <w:rsid w:val="00281EA7"/>
    <w:rsid w:val="00294049"/>
    <w:rsid w:val="002A1403"/>
    <w:rsid w:val="002A59A1"/>
    <w:rsid w:val="002A715C"/>
    <w:rsid w:val="002B7A25"/>
    <w:rsid w:val="002C23E7"/>
    <w:rsid w:val="002F024B"/>
    <w:rsid w:val="00305D98"/>
    <w:rsid w:val="00314810"/>
    <w:rsid w:val="00323FA8"/>
    <w:rsid w:val="0032601D"/>
    <w:rsid w:val="00327F86"/>
    <w:rsid w:val="0034458B"/>
    <w:rsid w:val="003608C3"/>
    <w:rsid w:val="00361804"/>
    <w:rsid w:val="0036359D"/>
    <w:rsid w:val="00373C1D"/>
    <w:rsid w:val="0037681C"/>
    <w:rsid w:val="00397396"/>
    <w:rsid w:val="003B7805"/>
    <w:rsid w:val="003B7CCA"/>
    <w:rsid w:val="003D1B1C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D2927"/>
    <w:rsid w:val="004E41E3"/>
    <w:rsid w:val="004F63BB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66C7F"/>
    <w:rsid w:val="00673F30"/>
    <w:rsid w:val="00690E46"/>
    <w:rsid w:val="00695EA5"/>
    <w:rsid w:val="006A6067"/>
    <w:rsid w:val="006C2FCA"/>
    <w:rsid w:val="006C4194"/>
    <w:rsid w:val="006D585B"/>
    <w:rsid w:val="00713831"/>
    <w:rsid w:val="00732096"/>
    <w:rsid w:val="00734281"/>
    <w:rsid w:val="00754292"/>
    <w:rsid w:val="007573BE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1DAD"/>
    <w:rsid w:val="00924275"/>
    <w:rsid w:val="0093324D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D1FE4"/>
    <w:rsid w:val="009F12E6"/>
    <w:rsid w:val="009F44AB"/>
    <w:rsid w:val="00A2593E"/>
    <w:rsid w:val="00A37094"/>
    <w:rsid w:val="00A5181C"/>
    <w:rsid w:val="00A62A22"/>
    <w:rsid w:val="00AA687A"/>
    <w:rsid w:val="00AC547B"/>
    <w:rsid w:val="00AC5B3F"/>
    <w:rsid w:val="00AD4E8A"/>
    <w:rsid w:val="00AE4503"/>
    <w:rsid w:val="00AF3539"/>
    <w:rsid w:val="00B10AEF"/>
    <w:rsid w:val="00B14CA9"/>
    <w:rsid w:val="00B45667"/>
    <w:rsid w:val="00B55199"/>
    <w:rsid w:val="00B62E1F"/>
    <w:rsid w:val="00B65A53"/>
    <w:rsid w:val="00B93964"/>
    <w:rsid w:val="00BA4ABF"/>
    <w:rsid w:val="00BA507C"/>
    <w:rsid w:val="00BC4E7D"/>
    <w:rsid w:val="00BC7511"/>
    <w:rsid w:val="00BF74D5"/>
    <w:rsid w:val="00C120EA"/>
    <w:rsid w:val="00C36C50"/>
    <w:rsid w:val="00C50BF9"/>
    <w:rsid w:val="00C66900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763A2"/>
    <w:rsid w:val="00D821CB"/>
    <w:rsid w:val="00D84907"/>
    <w:rsid w:val="00D87D41"/>
    <w:rsid w:val="00D90BB8"/>
    <w:rsid w:val="00DB27E2"/>
    <w:rsid w:val="00DB7340"/>
    <w:rsid w:val="00DC054C"/>
    <w:rsid w:val="00DF03A0"/>
    <w:rsid w:val="00DF26B4"/>
    <w:rsid w:val="00DF7CFB"/>
    <w:rsid w:val="00E0019E"/>
    <w:rsid w:val="00E12CBF"/>
    <w:rsid w:val="00E158CD"/>
    <w:rsid w:val="00E22B44"/>
    <w:rsid w:val="00E35D39"/>
    <w:rsid w:val="00E454C4"/>
    <w:rsid w:val="00E516F8"/>
    <w:rsid w:val="00E947C5"/>
    <w:rsid w:val="00EA4879"/>
    <w:rsid w:val="00EC53C1"/>
    <w:rsid w:val="00ED2E39"/>
    <w:rsid w:val="00EE6206"/>
    <w:rsid w:val="00EF4870"/>
    <w:rsid w:val="00EF7CC3"/>
    <w:rsid w:val="00F0029E"/>
    <w:rsid w:val="00F01EEC"/>
    <w:rsid w:val="00F20581"/>
    <w:rsid w:val="00F43D28"/>
    <w:rsid w:val="00F4457A"/>
    <w:rsid w:val="00F45C6E"/>
    <w:rsid w:val="00F6324F"/>
    <w:rsid w:val="00F74230"/>
    <w:rsid w:val="00F75E92"/>
    <w:rsid w:val="00F76BDA"/>
    <w:rsid w:val="00F8539E"/>
    <w:rsid w:val="00FC3338"/>
    <w:rsid w:val="00FD4389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A17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61804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1DAD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804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1DAD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9">
    <w:name w:val="A9"/>
    <w:uiPriority w:val="99"/>
    <w:rsid w:val="00732096"/>
    <w:rPr>
      <w:rFonts w:ascii="Myriad Pro" w:hAnsi="Myriad Pro" w:cs="Myriad Pro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EF7CC3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3">
    <w:name w:val="A13"/>
    <w:uiPriority w:val="99"/>
    <w:rsid w:val="00273CE1"/>
    <w:rPr>
      <w:rFonts w:ascii="Helvetica" w:hAnsi="Helvetica" w:cs="Helvetica"/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A3709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7094"/>
    <w:rPr>
      <w:rFonts w:ascii="Verdana" w:hAnsi="Verdan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3709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7094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C85E-11F2-4073-B18F-DCB11D39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2580</Characters>
  <Application>Microsoft Office Word</Application>
  <DocSecurity>0</DocSecurity>
  <Lines>56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68, 4e trimestre 2014</vt:lpstr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Numéros 70-71, 2e trimestre 2015</dc:title>
  <dc:subject/>
  <dc:creator>Pôle Publications, pôle Ressources de l'INSEI</dc:creator>
  <cp:keywords/>
  <dc:description/>
  <cp:lastModifiedBy>Vincent Le Calvez</cp:lastModifiedBy>
  <cp:revision>18</cp:revision>
  <dcterms:created xsi:type="dcterms:W3CDTF">2025-02-20T11:10:00Z</dcterms:created>
  <dcterms:modified xsi:type="dcterms:W3CDTF">2025-02-22T09:22:00Z</dcterms:modified>
  <cp:category/>
</cp:coreProperties>
</file>