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06" w:rsidRPr="00EE6206" w:rsidRDefault="00557A2D" w:rsidP="00EE6206">
      <w:pPr>
        <w:pStyle w:val="Titre1"/>
      </w:pPr>
      <w:r>
        <w:t>Sommaire de</w:t>
      </w:r>
      <w:bookmarkStart w:id="0" w:name="_GoBack"/>
      <w:bookmarkEnd w:id="0"/>
      <w:r w:rsidR="00C97A44">
        <w:t xml:space="preserve"> </w:t>
      </w:r>
      <w:r w:rsidR="00C97A44">
        <w:rPr>
          <w:i/>
        </w:rPr>
        <w:t>La nouvelle revue de l’adaptation et de la scolarisation</w:t>
      </w:r>
      <w:r w:rsidR="00C97A44">
        <w:t xml:space="preserve"> du numéro </w:t>
      </w:r>
      <w:r w:rsidR="00EE6206" w:rsidRPr="00EE6206">
        <w:t xml:space="preserve">56 </w:t>
      </w:r>
      <w:r w:rsidR="004D29BB">
        <w:br/>
      </w:r>
      <w:r w:rsidR="00EE6206" w:rsidRPr="00EE6206">
        <w:t>(4</w:t>
      </w:r>
      <w:r w:rsidR="00EE6206" w:rsidRPr="004D29BB">
        <w:rPr>
          <w:vertAlign w:val="superscript"/>
        </w:rPr>
        <w:t>e</w:t>
      </w:r>
      <w:r w:rsidR="00EE6206" w:rsidRPr="00EE6206">
        <w:t xml:space="preserve"> </w:t>
      </w:r>
      <w:r w:rsidR="00EE6206">
        <w:t>trimestre 2011)</w:t>
      </w:r>
    </w:p>
    <w:p w:rsidR="00EE6206" w:rsidRPr="00EE6206" w:rsidRDefault="00EE6206" w:rsidP="00EE6206">
      <w:r>
        <w:t>Éditorial. Hervé Benoit</w:t>
      </w:r>
    </w:p>
    <w:p w:rsidR="00EE6206" w:rsidRPr="00EE6206" w:rsidRDefault="00EE6206" w:rsidP="00EE6206">
      <w:pPr>
        <w:pStyle w:val="Titre2"/>
      </w:pPr>
      <w:r w:rsidRPr="00EE6206">
        <w:t xml:space="preserve">Dossier </w:t>
      </w:r>
      <w:r w:rsidR="004D29BB">
        <w:t>« </w:t>
      </w:r>
      <w:r w:rsidRPr="00EE6206">
        <w:t>Adolescence et dé</w:t>
      </w:r>
      <w:r>
        <w:t>crochage : prévenir et répondre</w:t>
      </w:r>
      <w:r w:rsidR="004D29BB">
        <w:t> »</w:t>
      </w:r>
    </w:p>
    <w:p w:rsidR="00EE6206" w:rsidRPr="00EE6206" w:rsidRDefault="00EE6206" w:rsidP="00EE6206">
      <w:r>
        <w:t xml:space="preserve">Présentation du dossier. </w:t>
      </w:r>
      <w:r w:rsidRPr="00EE6206">
        <w:t>Marie-Anne</w:t>
      </w:r>
      <w:r>
        <w:t xml:space="preserve"> Hugon, Danièle </w:t>
      </w:r>
      <w:proofErr w:type="spellStart"/>
      <w:r>
        <w:t>Toubert-Duffort</w:t>
      </w:r>
      <w:proofErr w:type="spellEnd"/>
    </w:p>
    <w:p w:rsidR="00EE6206" w:rsidRPr="00EE6206" w:rsidRDefault="00EE6206" w:rsidP="00EE6206">
      <w:r w:rsidRPr="00EE6206">
        <w:t>S’</w:t>
      </w:r>
      <w:r>
        <w:t xml:space="preserve">absenter : choix ou nécessité ? Patrice </w:t>
      </w:r>
      <w:proofErr w:type="spellStart"/>
      <w:r>
        <w:t>Huerre</w:t>
      </w:r>
      <w:proofErr w:type="spellEnd"/>
    </w:p>
    <w:p w:rsidR="00EE6206" w:rsidRPr="00EE6206" w:rsidRDefault="00EE6206" w:rsidP="00EE6206">
      <w:r w:rsidRPr="00EE6206">
        <w:t>Fantasmes de fuite ou de dépassement en soutien au</w:t>
      </w:r>
      <w:r>
        <w:t xml:space="preserve"> monde interne, à l’adolescence. Nicole Clerc</w:t>
      </w:r>
    </w:p>
    <w:p w:rsidR="00EE6206" w:rsidRPr="00EE6206" w:rsidRDefault="00EE6206" w:rsidP="00EE6206">
      <w:r w:rsidRPr="00EE6206">
        <w:t>État des lie</w:t>
      </w:r>
      <w:r>
        <w:t>ux de la recherche sociologique. Muriel Epstein</w:t>
      </w:r>
    </w:p>
    <w:p w:rsidR="00EE6206" w:rsidRPr="00EE6206" w:rsidRDefault="00EE6206" w:rsidP="00EE6206">
      <w:r w:rsidRPr="00EE6206">
        <w:t xml:space="preserve">Effets et limites de l’action des « référents dédiés » en </w:t>
      </w:r>
      <w:r>
        <w:t>Programme de réussite éducative. Hervé Cellier</w:t>
      </w:r>
    </w:p>
    <w:p w:rsidR="00EE6206" w:rsidRPr="00EE6206" w:rsidRDefault="00EE6206" w:rsidP="00EE6206">
      <w:r w:rsidRPr="00EE6206">
        <w:t xml:space="preserve">Lutter contre le décrochage à l’échelle d’un territoire Expérimentation d’un travail partenarial </w:t>
      </w:r>
      <w:r>
        <w:t xml:space="preserve">à Gentilly dans le Val-de-Marne. Michèle </w:t>
      </w:r>
      <w:proofErr w:type="spellStart"/>
      <w:r>
        <w:t>Becquemin</w:t>
      </w:r>
      <w:proofErr w:type="spellEnd"/>
    </w:p>
    <w:p w:rsidR="00EE6206" w:rsidRPr="00EE6206" w:rsidRDefault="00EE6206" w:rsidP="00EE6206">
      <w:r w:rsidRPr="00EE6206">
        <w:t>Les villes : des acteurs essentiels de la lutt</w:t>
      </w:r>
      <w:r>
        <w:t xml:space="preserve">e contre le décrochage scolaire. </w:t>
      </w:r>
      <w:r w:rsidRPr="00EE6206">
        <w:t>Élisabeth Bourgain, Marie-An</w:t>
      </w:r>
      <w:r>
        <w:t xml:space="preserve">ne Hugon, </w:t>
      </w:r>
      <w:proofErr w:type="spellStart"/>
      <w:r>
        <w:t>Abdelouahab</w:t>
      </w:r>
      <w:proofErr w:type="spellEnd"/>
      <w:r>
        <w:t xml:space="preserve"> </w:t>
      </w:r>
      <w:proofErr w:type="spellStart"/>
      <w:r>
        <w:t>Zahri</w:t>
      </w:r>
      <w:proofErr w:type="spellEnd"/>
    </w:p>
    <w:p w:rsidR="00EE6206" w:rsidRPr="00EE6206" w:rsidRDefault="00EE6206" w:rsidP="00EE6206">
      <w:r w:rsidRPr="00EE6206">
        <w:t>Réinvestir les apprentissages par la fréquentation d’un lieu c</w:t>
      </w:r>
      <w:r w:rsidR="00C50BF9">
        <w:t xml:space="preserve">ulturel et la pratique musicale. Sophie </w:t>
      </w:r>
      <w:proofErr w:type="spellStart"/>
      <w:r w:rsidR="00C50BF9">
        <w:t>Lerner</w:t>
      </w:r>
      <w:proofErr w:type="spellEnd"/>
      <w:r w:rsidR="00C50BF9">
        <w:t xml:space="preserve">, Lydia </w:t>
      </w:r>
      <w:proofErr w:type="spellStart"/>
      <w:r w:rsidR="00C50BF9">
        <w:t>Radivoniuk</w:t>
      </w:r>
      <w:proofErr w:type="spellEnd"/>
    </w:p>
    <w:p w:rsidR="00EE6206" w:rsidRPr="00EE6206" w:rsidRDefault="00EE6206" w:rsidP="00EE6206">
      <w:r w:rsidRPr="00EE6206">
        <w:t>« Projet Conte », une classe expérimentale pour prévenir le décrochage Une rencontre entre un collège traditionnel</w:t>
      </w:r>
      <w:r w:rsidR="00C50BF9">
        <w:t xml:space="preserve"> et une structure expérimentale. Odile Paillet, Françoise </w:t>
      </w:r>
      <w:proofErr w:type="spellStart"/>
      <w:r w:rsidR="00C50BF9">
        <w:t>Clery</w:t>
      </w:r>
      <w:proofErr w:type="spellEnd"/>
    </w:p>
    <w:p w:rsidR="00EE6206" w:rsidRPr="00EE6206" w:rsidRDefault="00EE6206" w:rsidP="00EE6206">
      <w:r w:rsidRPr="00EE6206">
        <w:t>L’accompagnement d’une équipe de collège pour la pr</w:t>
      </w:r>
      <w:r w:rsidR="00C50BF9">
        <w:t xml:space="preserve">évention du décrochage scolaire. </w:t>
      </w:r>
      <w:r w:rsidRPr="00EE6206">
        <w:t xml:space="preserve">Frédérique </w:t>
      </w:r>
      <w:proofErr w:type="spellStart"/>
      <w:r w:rsidRPr="00EE6206">
        <w:t>Mon</w:t>
      </w:r>
      <w:r w:rsidR="00C50BF9">
        <w:t>tandon</w:t>
      </w:r>
      <w:proofErr w:type="spellEnd"/>
      <w:r w:rsidR="00C50BF9">
        <w:t xml:space="preserve">, Danièle </w:t>
      </w:r>
      <w:proofErr w:type="spellStart"/>
      <w:r w:rsidR="00C50BF9">
        <w:t>Toubert-Duffort</w:t>
      </w:r>
      <w:proofErr w:type="spellEnd"/>
    </w:p>
    <w:p w:rsidR="00EE6206" w:rsidRPr="00EE6206" w:rsidRDefault="00EE6206" w:rsidP="00EE6206">
      <w:r w:rsidRPr="00EE6206">
        <w:t>« Platon, je kiffe grave</w:t>
      </w:r>
      <w:proofErr w:type="gramStart"/>
      <w:r w:rsidRPr="00EE6206">
        <w:t xml:space="preserve"> »…</w:t>
      </w:r>
      <w:proofErr w:type="gramEnd"/>
      <w:r w:rsidRPr="00EE6206">
        <w:t xml:space="preserve"> le philosophe médi</w:t>
      </w:r>
      <w:r w:rsidR="00C50BF9">
        <w:t xml:space="preserve">ateur et l’adolescent chercheur. </w:t>
      </w:r>
      <w:r w:rsidRPr="00EE6206">
        <w:t>Frédér</w:t>
      </w:r>
      <w:r w:rsidR="00C50BF9">
        <w:t xml:space="preserve">ique </w:t>
      </w:r>
      <w:proofErr w:type="spellStart"/>
      <w:r w:rsidR="00C50BF9">
        <w:t>Landoeuer</w:t>
      </w:r>
      <w:proofErr w:type="spellEnd"/>
      <w:r w:rsidR="00C50BF9">
        <w:t xml:space="preserve">, Sébastien </w:t>
      </w:r>
      <w:proofErr w:type="spellStart"/>
      <w:r w:rsidR="00C50BF9">
        <w:t>Pesce</w:t>
      </w:r>
      <w:proofErr w:type="spellEnd"/>
    </w:p>
    <w:p w:rsidR="00EE6206" w:rsidRPr="00EE6206" w:rsidRDefault="00EE6206" w:rsidP="00EE6206">
      <w:r w:rsidRPr="00EE6206">
        <w:t xml:space="preserve">Des enseignants </w:t>
      </w:r>
      <w:r w:rsidR="00C50BF9">
        <w:t xml:space="preserve">face à leurs élèves-adolescents. Antoine </w:t>
      </w:r>
      <w:proofErr w:type="spellStart"/>
      <w:r w:rsidR="00C50BF9">
        <w:t>Kattar</w:t>
      </w:r>
      <w:proofErr w:type="spellEnd"/>
    </w:p>
    <w:p w:rsidR="00EE6206" w:rsidRPr="00EE6206" w:rsidRDefault="00EE6206" w:rsidP="00EE6206">
      <w:r w:rsidRPr="00EE6206">
        <w:t>Le décrochage scolaire : une question qui n</w:t>
      </w:r>
      <w:r w:rsidR="00C50BF9">
        <w:t xml:space="preserve">e se pose pas à l’école Decroly. </w:t>
      </w:r>
      <w:r w:rsidRPr="00EE6206">
        <w:t xml:space="preserve">Floriane </w:t>
      </w:r>
      <w:proofErr w:type="spellStart"/>
      <w:r w:rsidRPr="00EE6206">
        <w:t>Buvat</w:t>
      </w:r>
      <w:proofErr w:type="spellEnd"/>
      <w:r w:rsidRPr="00EE6206">
        <w:t xml:space="preserve">, Christiane </w:t>
      </w:r>
      <w:proofErr w:type="spellStart"/>
      <w:r w:rsidRPr="00EE6206">
        <w:t>Montandon</w:t>
      </w:r>
      <w:proofErr w:type="spellEnd"/>
    </w:p>
    <w:p w:rsidR="00EE6206" w:rsidRPr="00EE6206" w:rsidRDefault="00EE6206" w:rsidP="00EE6206">
      <w:r w:rsidRPr="00EE6206">
        <w:t>Le lycée professionnel, un « lycée entièrement à part ou à part entière », mobilis</w:t>
      </w:r>
      <w:r w:rsidR="00C50BF9">
        <w:t xml:space="preserve">é contre le décrochage scolaire. Hélène </w:t>
      </w:r>
      <w:proofErr w:type="spellStart"/>
      <w:r w:rsidR="00C50BF9">
        <w:t>Vandelle</w:t>
      </w:r>
      <w:proofErr w:type="spellEnd"/>
    </w:p>
    <w:p w:rsidR="00EE6206" w:rsidRDefault="00EE6206" w:rsidP="00EE6206">
      <w:r w:rsidRPr="00EE6206">
        <w:t>« Réussite pour tous » : un dispositif qui fait (aussi) du bien aux enseignants</w:t>
      </w:r>
      <w:r w:rsidR="00C50BF9">
        <w:t xml:space="preserve">. </w:t>
      </w:r>
      <w:r w:rsidRPr="00EE6206">
        <w:t xml:space="preserve">Fanny </w:t>
      </w:r>
      <w:proofErr w:type="spellStart"/>
      <w:r w:rsidRPr="00EE6206">
        <w:t>Salane</w:t>
      </w:r>
      <w:proofErr w:type="spellEnd"/>
    </w:p>
    <w:p w:rsidR="00EE6206" w:rsidRPr="00EE6206" w:rsidRDefault="00EE6206" w:rsidP="00EE6206">
      <w:r w:rsidRPr="00EE6206">
        <w:t>Éducation informelle et forme scolaire au Micro-lycée de Sénart : de l</w:t>
      </w:r>
      <w:r w:rsidR="00C50BF9">
        <w:t xml:space="preserve">eur tension à leur articulation. Valérie </w:t>
      </w:r>
      <w:proofErr w:type="spellStart"/>
      <w:r w:rsidR="00C50BF9">
        <w:t>Melin</w:t>
      </w:r>
      <w:proofErr w:type="spellEnd"/>
      <w:r w:rsidR="00C50BF9">
        <w:t xml:space="preserve">, Olivier </w:t>
      </w:r>
      <w:proofErr w:type="spellStart"/>
      <w:r w:rsidR="00C50BF9">
        <w:t>Haeri</w:t>
      </w:r>
      <w:proofErr w:type="spellEnd"/>
    </w:p>
    <w:p w:rsidR="00EE6206" w:rsidRPr="00EE6206" w:rsidRDefault="00EE6206" w:rsidP="00EE6206">
      <w:r w:rsidRPr="00EE6206">
        <w:t>De la nécessité d’une proposition structurelle pour le raccrochage scolaire L’</w:t>
      </w:r>
      <w:r w:rsidR="00C50BF9">
        <w:t xml:space="preserve">exemple du Pôle innovant lycéen. Philippe </w:t>
      </w:r>
      <w:proofErr w:type="spellStart"/>
      <w:r w:rsidR="00C50BF9">
        <w:t>Goemé</w:t>
      </w:r>
      <w:proofErr w:type="spellEnd"/>
    </w:p>
    <w:p w:rsidR="00EE6206" w:rsidRPr="00EE6206" w:rsidRDefault="00EE6206" w:rsidP="00EE6206">
      <w:r w:rsidRPr="00EE6206">
        <w:t>Pour une persévéra</w:t>
      </w:r>
      <w:r w:rsidR="00C50BF9">
        <w:t>nce scolaire généralisée. Gilbert Longhi</w:t>
      </w:r>
    </w:p>
    <w:p w:rsidR="00EE6206" w:rsidRPr="00EE6206" w:rsidRDefault="00EE6206" w:rsidP="00EE6206">
      <w:r w:rsidRPr="00EE6206">
        <w:lastRenderedPageBreak/>
        <w:t>Un référentiel commun pour une meilleure prise en charge des mineurs en situation d’absent</w:t>
      </w:r>
      <w:r w:rsidR="00C50BF9">
        <w:t xml:space="preserve">éisme ou de décrochage scolaire. Ghislain </w:t>
      </w:r>
      <w:proofErr w:type="spellStart"/>
      <w:r w:rsidR="00C50BF9">
        <w:t>Plunus</w:t>
      </w:r>
      <w:proofErr w:type="spellEnd"/>
    </w:p>
    <w:p w:rsidR="00EE6206" w:rsidRDefault="00EE6206" w:rsidP="00EE6206">
      <w:r w:rsidRPr="00EE6206">
        <w:t>Accroître la réussite scolaire en milieu défavorisé Faits saillants de l’évaluation de la stratégie québécois</w:t>
      </w:r>
      <w:r w:rsidR="00C50BF9">
        <w:t xml:space="preserve">e d’intervention Agir autrement. </w:t>
      </w:r>
      <w:r w:rsidRPr="00EE6206">
        <w:t xml:space="preserve">Michel </w:t>
      </w:r>
      <w:proofErr w:type="spellStart"/>
      <w:r w:rsidRPr="00EE6206">
        <w:t>Janosz</w:t>
      </w:r>
      <w:proofErr w:type="spellEnd"/>
      <w:r w:rsidRPr="00EE6206">
        <w:t>, Jean</w:t>
      </w:r>
      <w:r w:rsidR="00C50BF9">
        <w:t xml:space="preserve"> </w:t>
      </w:r>
      <w:r w:rsidRPr="00EE6206">
        <w:t xml:space="preserve">Bélanger, Christian </w:t>
      </w:r>
      <w:proofErr w:type="spellStart"/>
      <w:r w:rsidRPr="00EE6206">
        <w:t>Dagenais</w:t>
      </w:r>
      <w:proofErr w:type="spellEnd"/>
      <w:r w:rsidRPr="00EE6206">
        <w:t xml:space="preserve">, François Bowen, Philip C. </w:t>
      </w:r>
      <w:proofErr w:type="spellStart"/>
      <w:r w:rsidRPr="00EE6206">
        <w:t>Abrami</w:t>
      </w:r>
      <w:proofErr w:type="spellEnd"/>
      <w:r w:rsidRPr="00EE6206">
        <w:t xml:space="preserve">, Sylvie C. Cartier, Roch Chouinard, Jean-Sébastien Fallu, Nadia </w:t>
      </w:r>
      <w:proofErr w:type="spellStart"/>
      <w:r w:rsidRPr="00EE6206">
        <w:t>Desbiens</w:t>
      </w:r>
      <w:proofErr w:type="spellEnd"/>
      <w:r w:rsidRPr="00EE6206">
        <w:t xml:space="preserve">, Gilles Roy, Sophie Pascal, </w:t>
      </w:r>
      <w:proofErr w:type="spellStart"/>
      <w:r w:rsidRPr="00EE6206">
        <w:t>Lar</w:t>
      </w:r>
      <w:r w:rsidR="004D29BB">
        <w:t>ysa</w:t>
      </w:r>
      <w:proofErr w:type="spellEnd"/>
      <w:r w:rsidR="004D29BB">
        <w:t xml:space="preserve"> </w:t>
      </w:r>
      <w:proofErr w:type="spellStart"/>
      <w:r w:rsidR="004D29BB">
        <w:t>Lysenko</w:t>
      </w:r>
      <w:proofErr w:type="spellEnd"/>
      <w:r w:rsidR="004D29BB">
        <w:t xml:space="preserve"> et</w:t>
      </w:r>
      <w:r w:rsidR="00C50BF9">
        <w:t xml:space="preserve"> Louis Turcotte</w:t>
      </w:r>
    </w:p>
    <w:p w:rsidR="00EE6206" w:rsidRPr="00EE6206" w:rsidRDefault="00C50BF9" w:rsidP="00C50BF9">
      <w:pPr>
        <w:pStyle w:val="Titre2"/>
      </w:pPr>
      <w:r>
        <w:t>Chronique de l’international</w:t>
      </w:r>
    </w:p>
    <w:p w:rsidR="00EE6206" w:rsidRPr="00EE6206" w:rsidRDefault="00EE6206" w:rsidP="00EE6206">
      <w:r w:rsidRPr="00EE6206">
        <w:t>Éducation et diversité : la nécessité d’interroger la catégorie d</w:t>
      </w:r>
      <w:proofErr w:type="gramStart"/>
      <w:r w:rsidRPr="00EE6206">
        <w:t>’«</w:t>
      </w:r>
      <w:proofErr w:type="gramEnd"/>
      <w:r w:rsidRPr="00EE6206">
        <w:t xml:space="preserve"> élève à problèmes »</w:t>
      </w:r>
      <w:r w:rsidR="00C50BF9">
        <w:t xml:space="preserve"> Silvia </w:t>
      </w:r>
      <w:proofErr w:type="spellStart"/>
      <w:r w:rsidR="00C50BF9">
        <w:t>Tedesco</w:t>
      </w:r>
      <w:proofErr w:type="spellEnd"/>
      <w:r w:rsidR="00C50BF9">
        <w:t xml:space="preserve">, Daisy </w:t>
      </w:r>
      <w:proofErr w:type="spellStart"/>
      <w:r w:rsidR="00C50BF9">
        <w:t>Queiroz</w:t>
      </w:r>
      <w:proofErr w:type="spellEnd"/>
    </w:p>
    <w:p w:rsidR="00EE6206" w:rsidRPr="00EE6206" w:rsidRDefault="00C50BF9" w:rsidP="00C50BF9">
      <w:pPr>
        <w:pStyle w:val="Titre2"/>
      </w:pPr>
      <w:r>
        <w:t>Études et formations</w:t>
      </w:r>
    </w:p>
    <w:p w:rsidR="00EE6206" w:rsidRPr="00EE6206" w:rsidRDefault="00EE6206" w:rsidP="00EE6206">
      <w:r w:rsidRPr="00EE6206">
        <w:t>Les élèves sourds, exclus de l’école ? Un cas particulier d’accès au savoir</w:t>
      </w:r>
      <w:r w:rsidR="00C50BF9">
        <w:t xml:space="preserve">. </w:t>
      </w:r>
      <w:r w:rsidRPr="00EE6206">
        <w:t>Vé</w:t>
      </w:r>
      <w:r w:rsidR="00C50BF9">
        <w:t>ronique Roussel, Fabrice Bertin</w:t>
      </w:r>
    </w:p>
    <w:p w:rsidR="00EE6206" w:rsidRPr="00EE6206" w:rsidRDefault="00C50BF9" w:rsidP="00C50BF9">
      <w:pPr>
        <w:pStyle w:val="Titre2"/>
      </w:pPr>
      <w:r>
        <w:t>Pédagogie et psychopédagogie</w:t>
      </w:r>
    </w:p>
    <w:p w:rsidR="00EE6206" w:rsidRPr="00EE6206" w:rsidRDefault="00EE6206" w:rsidP="00EE6206">
      <w:r w:rsidRPr="00EE6206">
        <w:t>Stérile mais féconde : l’</w:t>
      </w:r>
      <w:r w:rsidR="00C50BF9">
        <w:t>unité protégée où l’on enseigne. Amélie Perrin</w:t>
      </w:r>
    </w:p>
    <w:p w:rsidR="00EE6206" w:rsidRPr="00EE6206" w:rsidRDefault="00C50BF9" w:rsidP="00C50BF9">
      <w:pPr>
        <w:pStyle w:val="Titre2"/>
      </w:pPr>
      <w:r>
        <w:t>NTIC</w:t>
      </w:r>
    </w:p>
    <w:p w:rsidR="00EE6206" w:rsidRPr="00EE6206" w:rsidRDefault="00EE6206" w:rsidP="00EE6206">
      <w:r w:rsidRPr="00EE6206">
        <w:t>Mathématiques, raisonnement et technologies usuelles de l’information et de la communication : des besoins particuliers aux talents particuliers</w:t>
      </w:r>
      <w:r w:rsidR="00C50BF9">
        <w:t>. Philippe Garnier</w:t>
      </w:r>
    </w:p>
    <w:p w:rsidR="00EE6206" w:rsidRPr="00EE6206" w:rsidRDefault="00EE6206" w:rsidP="00C50BF9">
      <w:pPr>
        <w:pStyle w:val="Titre2"/>
      </w:pPr>
      <w:r w:rsidRPr="00EE6206">
        <w:t>Politi</w:t>
      </w:r>
      <w:r w:rsidR="00C50BF9">
        <w:t>ques et institutions éducatives</w:t>
      </w:r>
    </w:p>
    <w:p w:rsidR="00EE6206" w:rsidRPr="00EE6206" w:rsidRDefault="00EE6206" w:rsidP="00EE6206">
      <w:r w:rsidRPr="00EE6206">
        <w:t>Les relations parents/professionnels : partenariat ou mariage forcé ?</w:t>
      </w:r>
      <w:r w:rsidR="00C50BF9">
        <w:t xml:space="preserve"> Christine Philip</w:t>
      </w:r>
    </w:p>
    <w:p w:rsidR="00EE6206" w:rsidRPr="00EE6206" w:rsidRDefault="00C50BF9" w:rsidP="00C50BF9">
      <w:pPr>
        <w:pStyle w:val="Titre2"/>
      </w:pPr>
      <w:r>
        <w:t>Lire, voir, entendre</w:t>
      </w:r>
    </w:p>
    <w:p w:rsidR="00EE6206" w:rsidRPr="00EE6206" w:rsidRDefault="00EE6206" w:rsidP="00EE6206">
      <w:r w:rsidRPr="00EE6206">
        <w:t>Comptes rendus de lectur</w:t>
      </w:r>
      <w:r w:rsidR="00C50BF9">
        <w:t>e</w:t>
      </w:r>
    </w:p>
    <w:p w:rsidR="00EE6206" w:rsidRPr="00EE6206" w:rsidRDefault="00C50BF9" w:rsidP="00EE6206">
      <w:r>
        <w:t>Parutions récentes</w:t>
      </w:r>
    </w:p>
    <w:p w:rsidR="00EE6206" w:rsidRPr="00EE6206" w:rsidRDefault="00EE6206" w:rsidP="00EE6206">
      <w:r w:rsidRPr="00EE6206">
        <w:t>Ressources documentaires : Enseignement et aide pédagogique aux élèves</w:t>
      </w:r>
      <w:r w:rsidR="00C50BF9">
        <w:t xml:space="preserve"> </w:t>
      </w:r>
      <w:r w:rsidRPr="00EE6206">
        <w:t>présentant une déficience motrice ou un trouble de la santé évoluant sur une longue période</w:t>
      </w:r>
      <w:r w:rsidR="00C50BF9">
        <w:t xml:space="preserve">. </w:t>
      </w:r>
      <w:r w:rsidRPr="00EE6206">
        <w:t>Thérèse Barbier</w:t>
      </w:r>
    </w:p>
    <w:sectPr w:rsidR="00EE6206" w:rsidRPr="00EE6206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9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73C1D"/>
    <w:rsid w:val="0037681C"/>
    <w:rsid w:val="00397396"/>
    <w:rsid w:val="003B7805"/>
    <w:rsid w:val="003B7CCA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D29BB"/>
    <w:rsid w:val="004E41E3"/>
    <w:rsid w:val="0053317E"/>
    <w:rsid w:val="0055155D"/>
    <w:rsid w:val="00557A2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66EF1"/>
    <w:rsid w:val="00673F30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02A3E"/>
    <w:rsid w:val="00B10AEF"/>
    <w:rsid w:val="00B45667"/>
    <w:rsid w:val="00B55199"/>
    <w:rsid w:val="00B62E1F"/>
    <w:rsid w:val="00B65A53"/>
    <w:rsid w:val="00B93964"/>
    <w:rsid w:val="00BC4E7D"/>
    <w:rsid w:val="00BC7511"/>
    <w:rsid w:val="00C50BF9"/>
    <w:rsid w:val="00C71ACF"/>
    <w:rsid w:val="00C852A0"/>
    <w:rsid w:val="00C97A44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A4879"/>
    <w:rsid w:val="00EC53C1"/>
    <w:rsid w:val="00ED2E39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CA03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1-2, juin 1998</dc:title>
  <dc:subject/>
  <dc:creator>Pôle Publications du pôle Ressources de l'INSEI</dc:creator>
  <cp:keywords/>
  <dc:description/>
  <cp:lastModifiedBy>Formateur</cp:lastModifiedBy>
  <cp:revision>6</cp:revision>
  <dcterms:created xsi:type="dcterms:W3CDTF">2025-02-19T12:35:00Z</dcterms:created>
  <dcterms:modified xsi:type="dcterms:W3CDTF">2025-02-21T17:29:00Z</dcterms:modified>
  <cp:category/>
</cp:coreProperties>
</file>