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12B2" w14:textId="47109D51" w:rsidR="00CD073A" w:rsidRPr="00CD073A" w:rsidRDefault="00A5268D" w:rsidP="00CD073A">
      <w:pPr>
        <w:pStyle w:val="Titre1"/>
      </w:pPr>
      <w:r>
        <w:t xml:space="preserve">Sommaire </w:t>
      </w:r>
      <w:r w:rsidR="003E6BE9">
        <w:t>d</w:t>
      </w:r>
      <w:r w:rsidR="00303F62">
        <w:t>e</w:t>
      </w:r>
      <w:r w:rsidR="003E6BE9">
        <w:t xml:space="preserve"> </w:t>
      </w:r>
      <w:r>
        <w:rPr>
          <w:i/>
        </w:rPr>
        <w:t>La nouvelle revue de l’adaptation et de la scolarisation</w:t>
      </w:r>
      <w:r>
        <w:t xml:space="preserve"> du numéro </w:t>
      </w:r>
      <w:r w:rsidR="00CD073A" w:rsidRPr="00CD073A">
        <w:t>53</w:t>
      </w:r>
      <w:r w:rsidR="005560B2">
        <w:t xml:space="preserve"> </w:t>
      </w:r>
      <w:r>
        <w:br/>
      </w:r>
      <w:r w:rsidR="00CD073A" w:rsidRPr="00CD073A">
        <w:t>(1</w:t>
      </w:r>
      <w:r w:rsidR="00CD073A" w:rsidRPr="00A5268D">
        <w:rPr>
          <w:vertAlign w:val="superscript"/>
        </w:rPr>
        <w:t>er</w:t>
      </w:r>
      <w:r w:rsidR="00CD073A" w:rsidRPr="00CD073A">
        <w:t xml:space="preserve"> trimestre 2011)</w:t>
      </w:r>
    </w:p>
    <w:p w14:paraId="511EEEC9" w14:textId="77777777" w:rsidR="00CD073A" w:rsidRPr="00CD073A" w:rsidRDefault="00CD073A" w:rsidP="00CD073A">
      <w:r>
        <w:t xml:space="preserve">Éditorial. </w:t>
      </w:r>
      <w:r w:rsidRPr="00CD073A">
        <w:t>Hervé Benoit</w:t>
      </w:r>
    </w:p>
    <w:p w14:paraId="2ABB70BC" w14:textId="77777777" w:rsidR="00CD073A" w:rsidRPr="00CD073A" w:rsidRDefault="00CD073A" w:rsidP="00CD073A">
      <w:pPr>
        <w:pStyle w:val="Titre2"/>
      </w:pPr>
      <w:r w:rsidRPr="00CD073A">
        <w:t>Dossie</w:t>
      </w:r>
      <w:r w:rsidR="00EC6D4C">
        <w:t>r</w:t>
      </w:r>
      <w:r w:rsidR="00EB0410">
        <w:t xml:space="preserve"> « </w:t>
      </w:r>
      <w:r w:rsidRPr="00CD073A">
        <w:t>Les violences à l'école</w:t>
      </w:r>
      <w:r w:rsidR="00EB0410">
        <w:t> »</w:t>
      </w:r>
    </w:p>
    <w:p w14:paraId="73E09C5C" w14:textId="77777777" w:rsidR="00CD073A" w:rsidRPr="00CD073A" w:rsidRDefault="00CD073A" w:rsidP="00CD073A">
      <w:r w:rsidRPr="00CD073A">
        <w:t>Présentation du dossier</w:t>
      </w:r>
      <w:r>
        <w:t xml:space="preserve">. </w:t>
      </w:r>
      <w:r w:rsidRPr="00CD073A">
        <w:t>Yves Montoya, Hervé Benoit</w:t>
      </w:r>
    </w:p>
    <w:p w14:paraId="0ADB5AE1" w14:textId="77777777" w:rsidR="00CD073A" w:rsidRPr="00CD073A" w:rsidRDefault="00CD073A" w:rsidP="00CD073A">
      <w:proofErr w:type="spellStart"/>
      <w:r w:rsidRPr="00CD073A">
        <w:t>Victimations</w:t>
      </w:r>
      <w:proofErr w:type="spellEnd"/>
      <w:r w:rsidRPr="00CD073A">
        <w:t xml:space="preserve"> et harcèlements en France</w:t>
      </w:r>
      <w:r w:rsidR="005560B2">
        <w:t xml:space="preserve"> </w:t>
      </w:r>
      <w:r w:rsidRPr="00CD073A">
        <w:t>:</w:t>
      </w:r>
      <w:r w:rsidR="00580B4B">
        <w:t xml:space="preserve"> </w:t>
      </w:r>
      <w:r w:rsidRPr="00CD073A">
        <w:t>le cas de l’école élémentaire</w:t>
      </w:r>
      <w:r>
        <w:t xml:space="preserve">. </w:t>
      </w:r>
      <w:r w:rsidRPr="00CD073A">
        <w:t xml:space="preserve">Éric </w:t>
      </w:r>
      <w:proofErr w:type="spellStart"/>
      <w:r w:rsidRPr="00CD073A">
        <w:t>Debarbieux</w:t>
      </w:r>
      <w:proofErr w:type="spellEnd"/>
      <w:r w:rsidRPr="00CD073A">
        <w:t>, Yves Montoya</w:t>
      </w:r>
    </w:p>
    <w:p w14:paraId="1C3A1B1E" w14:textId="77777777" w:rsidR="00CD073A" w:rsidRPr="00CD073A" w:rsidRDefault="00CD073A" w:rsidP="00CD073A">
      <w:r w:rsidRPr="00CD073A">
        <w:t>Violences à l’école…</w:t>
      </w:r>
      <w:r>
        <w:t xml:space="preserve"> </w:t>
      </w:r>
      <w:r w:rsidRPr="00CD073A">
        <w:t xml:space="preserve">Claude </w:t>
      </w:r>
      <w:proofErr w:type="spellStart"/>
      <w:r w:rsidRPr="00CD073A">
        <w:t>Lelièvre</w:t>
      </w:r>
      <w:proofErr w:type="spellEnd"/>
      <w:r w:rsidRPr="00CD073A">
        <w:t xml:space="preserve">, Francis </w:t>
      </w:r>
      <w:proofErr w:type="spellStart"/>
      <w:r w:rsidRPr="00CD073A">
        <w:t>Lec</w:t>
      </w:r>
      <w:proofErr w:type="spellEnd"/>
    </w:p>
    <w:p w14:paraId="7C2F1C45" w14:textId="77777777" w:rsidR="00CD073A" w:rsidRPr="00CD073A" w:rsidRDefault="00CD073A" w:rsidP="00CD073A">
      <w:r w:rsidRPr="00CD073A">
        <w:t>Le climat scolaire. Une approche pragmatique de la violence à l’école.</w:t>
      </w:r>
      <w:r w:rsidR="005560B2">
        <w:t xml:space="preserve"> </w:t>
      </w:r>
      <w:r w:rsidRPr="00CD073A">
        <w:t>De l’élève à l’établissement</w:t>
      </w:r>
      <w:r>
        <w:t xml:space="preserve">. </w:t>
      </w:r>
      <w:r w:rsidRPr="00CD073A">
        <w:t xml:space="preserve">Georges </w:t>
      </w:r>
      <w:proofErr w:type="spellStart"/>
      <w:r w:rsidRPr="00CD073A">
        <w:t>Fotinos</w:t>
      </w:r>
      <w:proofErr w:type="spellEnd"/>
    </w:p>
    <w:p w14:paraId="365C831F" w14:textId="77777777" w:rsidR="00CD073A" w:rsidRPr="00CD073A" w:rsidRDefault="00CD073A" w:rsidP="00CD073A">
      <w:r w:rsidRPr="00CD073A">
        <w:t>Lorsque la violence devient récréative : l’exemple des jeux d’agression</w:t>
      </w:r>
      <w:r w:rsidR="005560B2">
        <w:t xml:space="preserve">. </w:t>
      </w:r>
      <w:r w:rsidRPr="00CD073A">
        <w:t>Enjeux psychopathologiques et perspectives préventives</w:t>
      </w:r>
      <w:r>
        <w:t xml:space="preserve">. </w:t>
      </w:r>
      <w:r w:rsidRPr="00CD073A">
        <w:t>Grégory Michel</w:t>
      </w:r>
    </w:p>
    <w:p w14:paraId="161F0013" w14:textId="77777777" w:rsidR="00CD073A" w:rsidRPr="00CD073A" w:rsidRDefault="00CD073A" w:rsidP="00CD073A">
      <w:proofErr w:type="spellStart"/>
      <w:r w:rsidRPr="00CD073A">
        <w:t>Cyberviolence</w:t>
      </w:r>
      <w:proofErr w:type="spellEnd"/>
      <w:r w:rsidRPr="00CD073A">
        <w:t xml:space="preserve"> et </w:t>
      </w:r>
      <w:proofErr w:type="spellStart"/>
      <w:r w:rsidRPr="00CD073A">
        <w:t>cyberharcèlement</w:t>
      </w:r>
      <w:proofErr w:type="spellEnd"/>
      <w:r w:rsidRPr="00CD073A">
        <w:t xml:space="preserve"> : approches sociologiques</w:t>
      </w:r>
      <w:r>
        <w:t xml:space="preserve">. </w:t>
      </w:r>
      <w:r w:rsidRPr="00CD073A">
        <w:t xml:space="preserve">Catherine </w:t>
      </w:r>
      <w:proofErr w:type="spellStart"/>
      <w:r w:rsidRPr="00CD073A">
        <w:t>Blaya</w:t>
      </w:r>
      <w:proofErr w:type="spellEnd"/>
    </w:p>
    <w:p w14:paraId="3E529B24" w14:textId="77777777" w:rsidR="00CD073A" w:rsidRPr="00CD073A" w:rsidRDefault="00CD073A" w:rsidP="00CD073A">
      <w:r w:rsidRPr="00CD073A">
        <w:t>Diversité ethnique et climat scolaire. Le cas de collèges de l’académie de Bordeaux</w:t>
      </w:r>
      <w:r>
        <w:t xml:space="preserve">. </w:t>
      </w:r>
      <w:r w:rsidRPr="00CD073A">
        <w:t xml:space="preserve">Jean-François </w:t>
      </w:r>
      <w:proofErr w:type="spellStart"/>
      <w:r w:rsidRPr="00CD073A">
        <w:t>Bruneaud</w:t>
      </w:r>
      <w:proofErr w:type="spellEnd"/>
    </w:p>
    <w:p w14:paraId="02167D70" w14:textId="77777777" w:rsidR="00CD073A" w:rsidRPr="00CD073A" w:rsidRDefault="00CD073A" w:rsidP="00CD073A">
      <w:r w:rsidRPr="00CD073A">
        <w:t>Quell</w:t>
      </w:r>
      <w:r>
        <w:t xml:space="preserve">e parole face à la violence ? </w:t>
      </w:r>
      <w:r w:rsidRPr="00CD073A">
        <w:t xml:space="preserve">Philippe </w:t>
      </w:r>
      <w:proofErr w:type="spellStart"/>
      <w:r w:rsidRPr="00CD073A">
        <w:t>Meirieu</w:t>
      </w:r>
      <w:proofErr w:type="spellEnd"/>
    </w:p>
    <w:p w14:paraId="33D6DE7F" w14:textId="77777777" w:rsidR="00CD073A" w:rsidRPr="00CD073A" w:rsidRDefault="00CD073A" w:rsidP="00CD073A">
      <w:r w:rsidRPr="00CD073A">
        <w:t>La prévention de la violence dans les écoles québécoises :</w:t>
      </w:r>
      <w:r w:rsidR="005560B2">
        <w:t xml:space="preserve"> </w:t>
      </w:r>
      <w:r w:rsidRPr="00CD073A">
        <w:t>des p</w:t>
      </w:r>
      <w:r>
        <w:t xml:space="preserve">ratiques d’hier à aujourd’hui. </w:t>
      </w:r>
      <w:r w:rsidRPr="00CD073A">
        <w:t>Claire Beaumont</w:t>
      </w:r>
    </w:p>
    <w:p w14:paraId="55227971" w14:textId="77777777" w:rsidR="00CD073A" w:rsidRPr="00CD073A" w:rsidRDefault="00CD073A" w:rsidP="00CD073A">
      <w:r w:rsidRPr="00CD073A">
        <w:t>Les comportements difficiles en classe : pistes de solutions pour mieux former</w:t>
      </w:r>
      <w:r w:rsidR="005560B2">
        <w:t xml:space="preserve"> </w:t>
      </w:r>
      <w:r w:rsidRPr="00CD073A">
        <w:t>les enseignants en exercice et favoriser la réussite des élèves</w:t>
      </w:r>
      <w:r>
        <w:t xml:space="preserve">. </w:t>
      </w:r>
      <w:r w:rsidRPr="00CD073A">
        <w:t>Nancy Gaudreau</w:t>
      </w:r>
    </w:p>
    <w:p w14:paraId="2699C396" w14:textId="77777777" w:rsidR="00CD073A" w:rsidRPr="00CD073A" w:rsidRDefault="00CD073A" w:rsidP="00CD073A">
      <w:r w:rsidRPr="00CD073A">
        <w:t>Prendre soin des élèves pour prévenir les violences à l’école : des ressources ignorées</w:t>
      </w:r>
      <w:r>
        <w:t xml:space="preserve">. </w:t>
      </w:r>
      <w:r w:rsidRPr="00CD073A">
        <w:t>Magdalena Kohout-Diaz</w:t>
      </w:r>
    </w:p>
    <w:p w14:paraId="73F11BAB" w14:textId="77777777" w:rsidR="00CD073A" w:rsidRPr="00CD073A" w:rsidRDefault="00CD073A" w:rsidP="00CD073A">
      <w:r w:rsidRPr="00CD073A">
        <w:t>Former les enseignants spécialisés à exercer une autorité éducative :</w:t>
      </w:r>
      <w:r w:rsidR="005560B2">
        <w:t xml:space="preserve"> </w:t>
      </w:r>
      <w:r w:rsidRPr="00CD073A">
        <w:t>une réponse au problème des jeunes instables ou hyperactifs ?</w:t>
      </w:r>
      <w:r>
        <w:t xml:space="preserve"> </w:t>
      </w:r>
      <w:r w:rsidRPr="00CD073A">
        <w:t xml:space="preserve">Bruno </w:t>
      </w:r>
      <w:proofErr w:type="spellStart"/>
      <w:r w:rsidRPr="00CD073A">
        <w:t>Robbes</w:t>
      </w:r>
      <w:proofErr w:type="spellEnd"/>
    </w:p>
    <w:p w14:paraId="03BF6895" w14:textId="77777777" w:rsidR="00CD073A" w:rsidRPr="00CD073A" w:rsidRDefault="00CD073A" w:rsidP="00CD073A">
      <w:r w:rsidRPr="00CD073A">
        <w:t>La violence de l’imagination contre la violence de l’acte</w:t>
      </w:r>
      <w:r>
        <w:t xml:space="preserve"> </w:t>
      </w:r>
      <w:r w:rsidRPr="00CD073A">
        <w:t>Atelier d’écriture auprès d’</w:t>
      </w:r>
      <w:r w:rsidR="005560B2">
        <w:t xml:space="preserve">adolescents dits « violents ». </w:t>
      </w:r>
      <w:r w:rsidRPr="00CD073A">
        <w:t>Jean-Pierre Klein</w:t>
      </w:r>
    </w:p>
    <w:p w14:paraId="611BE089" w14:textId="77777777" w:rsidR="00CD073A" w:rsidRPr="00CD073A" w:rsidRDefault="00CD073A" w:rsidP="00CD073A">
      <w:r w:rsidRPr="00CD073A">
        <w:t xml:space="preserve">Vivre la violence en situation d’éducation : </w:t>
      </w:r>
      <w:r>
        <w:t xml:space="preserve">appréhender, atermoyer, subir. </w:t>
      </w:r>
      <w:r w:rsidRPr="00CD073A">
        <w:t>Yves Jeanne</w:t>
      </w:r>
    </w:p>
    <w:p w14:paraId="0581E1C2" w14:textId="77777777" w:rsidR="00CD073A" w:rsidRPr="00CD073A" w:rsidRDefault="00CD073A" w:rsidP="00CD073A">
      <w:r w:rsidRPr="00CD073A">
        <w:t xml:space="preserve">La violence et l’école : forcer des </w:t>
      </w:r>
      <w:r>
        <w:t xml:space="preserve">formes ou former des forces ? </w:t>
      </w:r>
      <w:r w:rsidRPr="00CD073A">
        <w:t xml:space="preserve">Gilles </w:t>
      </w:r>
      <w:proofErr w:type="spellStart"/>
      <w:r w:rsidRPr="00CD073A">
        <w:t>Boudinet</w:t>
      </w:r>
      <w:proofErr w:type="spellEnd"/>
    </w:p>
    <w:p w14:paraId="62BE77DC" w14:textId="77777777" w:rsidR="00CD073A" w:rsidRPr="00CD073A" w:rsidRDefault="00CD073A" w:rsidP="00CD073A">
      <w:pPr>
        <w:pStyle w:val="Titre2"/>
      </w:pPr>
      <w:r w:rsidRPr="00CD073A">
        <w:t>Chronique de l’international</w:t>
      </w:r>
    </w:p>
    <w:p w14:paraId="40092F74" w14:textId="77777777" w:rsidR="00CD073A" w:rsidRPr="00CD073A" w:rsidRDefault="00CD073A" w:rsidP="00CD073A">
      <w:r>
        <w:t xml:space="preserve">Le mot de l’international. </w:t>
      </w:r>
      <w:r w:rsidRPr="00CD073A">
        <w:t>Éric Plaisance</w:t>
      </w:r>
    </w:p>
    <w:p w14:paraId="3B6E4AA2" w14:textId="77777777" w:rsidR="00CD073A" w:rsidRPr="00CD073A" w:rsidRDefault="00CD073A" w:rsidP="00CD073A">
      <w:r w:rsidRPr="00CD073A">
        <w:t>Le rapport des professionnels de l’enseignement au projet d’Intégration scolaire</w:t>
      </w:r>
      <w:r w:rsidR="005560B2">
        <w:t xml:space="preserve"> </w:t>
      </w:r>
      <w:r w:rsidRPr="00CD073A">
        <w:t xml:space="preserve">des </w:t>
      </w:r>
      <w:r>
        <w:t xml:space="preserve">enfants handicapés en Tunisie. </w:t>
      </w:r>
      <w:r w:rsidRPr="00CD073A">
        <w:t xml:space="preserve">Ben </w:t>
      </w:r>
      <w:proofErr w:type="spellStart"/>
      <w:r w:rsidRPr="00CD073A">
        <w:t>Abderrahman</w:t>
      </w:r>
      <w:proofErr w:type="spellEnd"/>
      <w:r w:rsidRPr="00CD073A">
        <w:t xml:space="preserve"> Mohamed Lamine</w:t>
      </w:r>
    </w:p>
    <w:p w14:paraId="11320C5C" w14:textId="77777777" w:rsidR="00CD073A" w:rsidRPr="00CD073A" w:rsidRDefault="00CD073A" w:rsidP="00CD073A">
      <w:pPr>
        <w:pStyle w:val="Titre2"/>
      </w:pPr>
      <w:r w:rsidRPr="00CD073A">
        <w:t>Études et formations</w:t>
      </w:r>
    </w:p>
    <w:p w14:paraId="4810E14A" w14:textId="77777777" w:rsidR="00CD073A" w:rsidRPr="00CD073A" w:rsidRDefault="00CD073A" w:rsidP="00CD073A">
      <w:r w:rsidRPr="00CD073A">
        <w:t>La dyslexie en lycée professionnel : de l’ignorance à l’auto-formation</w:t>
      </w:r>
      <w:r>
        <w:t xml:space="preserve">. </w:t>
      </w:r>
      <w:r w:rsidRPr="00CD073A">
        <w:t xml:space="preserve">Christine </w:t>
      </w:r>
      <w:proofErr w:type="spellStart"/>
      <w:r w:rsidRPr="00CD073A">
        <w:t>Montuori</w:t>
      </w:r>
      <w:proofErr w:type="spellEnd"/>
      <w:r w:rsidRPr="00CD073A">
        <w:t>, Sabine Laplace</w:t>
      </w:r>
    </w:p>
    <w:p w14:paraId="4A9FB2BE" w14:textId="77777777" w:rsidR="00CD073A" w:rsidRPr="00CD073A" w:rsidRDefault="00CD073A" w:rsidP="00CD073A">
      <w:pPr>
        <w:pStyle w:val="Titre2"/>
      </w:pPr>
      <w:r w:rsidRPr="00CD073A">
        <w:lastRenderedPageBreak/>
        <w:t>Pédagogie et psychopédagogie</w:t>
      </w:r>
    </w:p>
    <w:p w14:paraId="6B98FB36" w14:textId="77777777" w:rsidR="00CD073A" w:rsidRPr="00CD073A" w:rsidRDefault="00CD073A" w:rsidP="00CD073A">
      <w:r w:rsidRPr="00CD073A">
        <w:t>L’enseignant spécialisé « multifonctions » à Saint-Pierre-et-Miquelon</w:t>
      </w:r>
      <w:r>
        <w:t xml:space="preserve">. </w:t>
      </w:r>
      <w:r w:rsidRPr="00CD073A">
        <w:t xml:space="preserve">Catherine </w:t>
      </w:r>
      <w:proofErr w:type="spellStart"/>
      <w:r w:rsidRPr="00CD073A">
        <w:t>Detcheverry</w:t>
      </w:r>
      <w:proofErr w:type="spellEnd"/>
    </w:p>
    <w:p w14:paraId="66EA3ECD" w14:textId="77777777" w:rsidR="00CD073A" w:rsidRPr="00CD073A" w:rsidRDefault="00CD073A" w:rsidP="00CD073A">
      <w:pPr>
        <w:pStyle w:val="Titre2"/>
      </w:pPr>
      <w:r w:rsidRPr="00CD073A">
        <w:t>NTIC</w:t>
      </w:r>
    </w:p>
    <w:p w14:paraId="437825CD" w14:textId="77777777" w:rsidR="00CD073A" w:rsidRPr="00CD073A" w:rsidRDefault="00CD073A" w:rsidP="00CD073A">
      <w:proofErr w:type="spellStart"/>
      <w:r w:rsidRPr="00CD073A">
        <w:t>Natbraille</w:t>
      </w:r>
      <w:proofErr w:type="spellEnd"/>
      <w:r w:rsidRPr="00CD073A">
        <w:t>, une réponse au nouveau contexte de scolarisation des élèves non-voyants</w:t>
      </w:r>
      <w:r>
        <w:t xml:space="preserve">. </w:t>
      </w:r>
      <w:r w:rsidRPr="00CD073A">
        <w:t>Marc Ollier</w:t>
      </w:r>
    </w:p>
    <w:p w14:paraId="734EEF74" w14:textId="77777777" w:rsidR="00CD073A" w:rsidRPr="00CD073A" w:rsidRDefault="00CD073A" w:rsidP="00CD073A">
      <w:pPr>
        <w:pStyle w:val="Titre2"/>
      </w:pPr>
      <w:r w:rsidRPr="00CD073A">
        <w:t>Politiques et institutions éducatives</w:t>
      </w:r>
    </w:p>
    <w:p w14:paraId="36452802" w14:textId="77777777" w:rsidR="00CD073A" w:rsidRPr="00CD073A" w:rsidRDefault="00CD073A" w:rsidP="00CD073A">
      <w:r w:rsidRPr="00CD073A">
        <w:t>Organisation et financement de la prise en compte des élèves présentant des besoins éducatifs parti</w:t>
      </w:r>
      <w:r>
        <w:t xml:space="preserve">culiers en France : un aperçu. </w:t>
      </w:r>
      <w:r w:rsidRPr="00CD073A">
        <w:t xml:space="preserve">Jean-Marc </w:t>
      </w:r>
      <w:proofErr w:type="spellStart"/>
      <w:r w:rsidRPr="00CD073A">
        <w:t>Lesain-Delabarre</w:t>
      </w:r>
      <w:proofErr w:type="spellEnd"/>
    </w:p>
    <w:p w14:paraId="161C99BD" w14:textId="77777777" w:rsidR="00CD073A" w:rsidRPr="00CD073A" w:rsidRDefault="00CD073A" w:rsidP="00CD073A">
      <w:pPr>
        <w:pStyle w:val="Titre2"/>
      </w:pPr>
      <w:r w:rsidRPr="00CD073A">
        <w:t>Lire, voir, entendre</w:t>
      </w:r>
    </w:p>
    <w:p w14:paraId="6242A64C" w14:textId="77777777" w:rsidR="00CD073A" w:rsidRPr="00CD073A" w:rsidRDefault="00CD073A" w:rsidP="00CD073A">
      <w:r w:rsidRPr="00CD073A">
        <w:t>Comptes rendus de lecture</w:t>
      </w:r>
    </w:p>
    <w:p w14:paraId="31F2AC1E" w14:textId="77777777" w:rsidR="00CD073A" w:rsidRPr="00CD073A" w:rsidRDefault="00CD073A" w:rsidP="00CD073A">
      <w:r w:rsidRPr="00CD073A">
        <w:t>Parutions récentes</w:t>
      </w:r>
    </w:p>
    <w:p w14:paraId="45C1D410" w14:textId="77777777" w:rsidR="000A3A23" w:rsidRPr="00CD073A" w:rsidRDefault="00CD073A" w:rsidP="00CD073A">
      <w:r w:rsidRPr="00CD073A">
        <w:t>Ressources documentaires :</w:t>
      </w:r>
      <w:r w:rsidR="005560B2">
        <w:t xml:space="preserve"> </w:t>
      </w:r>
      <w:r w:rsidRPr="00CD073A">
        <w:t>Les Instituts thérapeutiques, éducatifs et pédagogiques (</w:t>
      </w:r>
      <w:proofErr w:type="spellStart"/>
      <w:r w:rsidRPr="00CD073A">
        <w:t>Itep</w:t>
      </w:r>
      <w:proofErr w:type="spellEnd"/>
      <w:r w:rsidRPr="005560B2">
        <w:t xml:space="preserve">). Christine </w:t>
      </w:r>
      <w:proofErr w:type="spellStart"/>
      <w:r w:rsidRPr="005560B2">
        <w:t>Plassard</w:t>
      </w:r>
      <w:proofErr w:type="spellEnd"/>
    </w:p>
    <w:sectPr w:rsidR="000A3A23" w:rsidRPr="00CD073A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237BF"/>
    <w:rsid w:val="00224528"/>
    <w:rsid w:val="00281EA7"/>
    <w:rsid w:val="00294049"/>
    <w:rsid w:val="002A1403"/>
    <w:rsid w:val="002A715C"/>
    <w:rsid w:val="002B7A25"/>
    <w:rsid w:val="002F024B"/>
    <w:rsid w:val="00303F62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B7CCA"/>
    <w:rsid w:val="003E6BE9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560B2"/>
    <w:rsid w:val="0057220C"/>
    <w:rsid w:val="00580B4B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90E46"/>
    <w:rsid w:val="00695EA5"/>
    <w:rsid w:val="006A6067"/>
    <w:rsid w:val="006C2FCA"/>
    <w:rsid w:val="006C4194"/>
    <w:rsid w:val="006D585B"/>
    <w:rsid w:val="00713831"/>
    <w:rsid w:val="00734281"/>
    <w:rsid w:val="00754292"/>
    <w:rsid w:val="007823A3"/>
    <w:rsid w:val="00786A7D"/>
    <w:rsid w:val="007A456B"/>
    <w:rsid w:val="007F7283"/>
    <w:rsid w:val="00804822"/>
    <w:rsid w:val="00832597"/>
    <w:rsid w:val="00852EBF"/>
    <w:rsid w:val="00867C91"/>
    <w:rsid w:val="00871565"/>
    <w:rsid w:val="00871BD2"/>
    <w:rsid w:val="00873C6E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5268D"/>
    <w:rsid w:val="00A62A22"/>
    <w:rsid w:val="00A877BD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C71ACF"/>
    <w:rsid w:val="00C852A0"/>
    <w:rsid w:val="00CA09B1"/>
    <w:rsid w:val="00CA22E6"/>
    <w:rsid w:val="00CB07E5"/>
    <w:rsid w:val="00CD07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A65B6"/>
    <w:rsid w:val="00DB27E2"/>
    <w:rsid w:val="00DF03A0"/>
    <w:rsid w:val="00DF26B4"/>
    <w:rsid w:val="00DF7CFB"/>
    <w:rsid w:val="00E0019E"/>
    <w:rsid w:val="00E35D39"/>
    <w:rsid w:val="00E516F8"/>
    <w:rsid w:val="00EA4879"/>
    <w:rsid w:val="00EB0410"/>
    <w:rsid w:val="00EC53C1"/>
    <w:rsid w:val="00EC6D4C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6541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1-2, juin 1998</vt:lpstr>
    </vt:vector>
  </TitlesOfParts>
  <Manager/>
  <Company/>
  <LinksUpToDate>false</LinksUpToDate>
  <CharactersWithSpaces>2633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53, 1er trimestre 2011</dc:title>
  <dc:subject/>
  <dc:creator>Pôle Publications du pôle Ressources de l'INSEI</dc:creator>
  <cp:keywords/>
  <dc:description/>
  <cp:lastModifiedBy>Vincent Le Calvez</cp:lastModifiedBy>
  <cp:revision>11</cp:revision>
  <dcterms:created xsi:type="dcterms:W3CDTF">2025-02-19T10:36:00Z</dcterms:created>
  <dcterms:modified xsi:type="dcterms:W3CDTF">2025-02-22T06:04:00Z</dcterms:modified>
  <cp:category/>
</cp:coreProperties>
</file>