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67C1" w14:textId="6CBF3E3C" w:rsidR="00B62E1F" w:rsidRPr="00B62E1F" w:rsidRDefault="009A2397" w:rsidP="00942127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B62E1F" w:rsidRPr="00B62E1F">
        <w:t>36 (4</w:t>
      </w:r>
      <w:r w:rsidR="00B62E1F" w:rsidRPr="000B19CE">
        <w:rPr>
          <w:rFonts w:cs="Times New Roman (Titres CS)"/>
          <w:vertAlign w:val="superscript"/>
        </w:rPr>
        <w:t>e</w:t>
      </w:r>
      <w:r w:rsidR="00B62E1F" w:rsidRPr="00B62E1F">
        <w:t xml:space="preserve"> </w:t>
      </w:r>
      <w:r w:rsidR="00B62E1F">
        <w:t>trimestre 2006)</w:t>
      </w:r>
    </w:p>
    <w:p w14:paraId="041A0965" w14:textId="77777777" w:rsidR="00B62E1F" w:rsidRPr="00B62E1F" w:rsidRDefault="00B62E1F" w:rsidP="00B62E1F">
      <w:r w:rsidRPr="00B62E1F">
        <w:t xml:space="preserve">Éditorial – </w:t>
      </w:r>
      <w:r w:rsidR="00E8232B">
        <w:t>Hervé Benoit</w:t>
      </w:r>
    </w:p>
    <w:p w14:paraId="75E71698" w14:textId="291E6CE8" w:rsidR="00B62E1F" w:rsidRPr="00B62E1F" w:rsidRDefault="00B62E1F" w:rsidP="00E8232B">
      <w:pPr>
        <w:pStyle w:val="Titre2"/>
      </w:pPr>
      <w:r w:rsidRPr="00B62E1F">
        <w:t xml:space="preserve">Dossier : </w:t>
      </w:r>
      <w:r w:rsidR="0039269C">
        <w:t>« </w:t>
      </w:r>
      <w:r w:rsidRPr="00B62E1F">
        <w:t>Lan</w:t>
      </w:r>
      <w:r w:rsidR="00E8232B">
        <w:t>gue d’école, langues d’ailleurs</w:t>
      </w:r>
      <w:r w:rsidR="0039269C">
        <w:t> »</w:t>
      </w:r>
    </w:p>
    <w:p w14:paraId="3D5ABA2F" w14:textId="77777777" w:rsidR="00B62E1F" w:rsidRPr="00B62E1F" w:rsidRDefault="00B62E1F" w:rsidP="00B62E1F">
      <w:r w:rsidRPr="00B62E1F">
        <w:t>Dossier dirigé par José Sekn</w:t>
      </w:r>
      <w:r w:rsidR="00E8232B">
        <w:t>adjé-Askénazi et Jean-Luc Guyot</w:t>
      </w:r>
    </w:p>
    <w:p w14:paraId="5CA56561" w14:textId="77777777" w:rsidR="00B62E1F" w:rsidRPr="00B62E1F" w:rsidRDefault="00E8232B" w:rsidP="00B62E1F">
      <w:r>
        <w:t xml:space="preserve">Présentation du dossier. </w:t>
      </w:r>
      <w:r w:rsidR="00B62E1F" w:rsidRPr="00B62E1F">
        <w:t>José Seknadjé</w:t>
      </w:r>
      <w:r>
        <w:t>-Askénazi et Jean-Luc Guyot</w:t>
      </w:r>
    </w:p>
    <w:p w14:paraId="502F1EF1" w14:textId="77777777" w:rsidR="00B62E1F" w:rsidRPr="00B62E1F" w:rsidRDefault="00B62E1F" w:rsidP="00B62E1F">
      <w:r w:rsidRPr="00B62E1F">
        <w:t>Les tchavé parlent aux gadgé ou comment des enfants du voyage ont articulé avec succès langue fam</w:t>
      </w:r>
      <w:r w:rsidR="00924CE4">
        <w:t>iliale et productions scolaires. Andrée Chastel</w:t>
      </w:r>
    </w:p>
    <w:p w14:paraId="3AC2E230" w14:textId="77777777" w:rsidR="00B62E1F" w:rsidRPr="00B62E1F" w:rsidRDefault="00B62E1F" w:rsidP="00B62E1F">
      <w:r w:rsidRPr="00B62E1F">
        <w:t>L’apprentissage du français de scola</w:t>
      </w:r>
      <w:r w:rsidR="00924CE4">
        <w:t xml:space="preserve">risation : principes et repères. </w:t>
      </w:r>
      <w:r w:rsidRPr="00B62E1F">
        <w:t>Jean-Luc G</w:t>
      </w:r>
      <w:r w:rsidR="00924CE4">
        <w:t>uyot et Dimitri Afgoustidis</w:t>
      </w:r>
    </w:p>
    <w:p w14:paraId="616C0EB9" w14:textId="77777777" w:rsidR="00B62E1F" w:rsidRPr="00B62E1F" w:rsidRDefault="00924CE4" w:rsidP="00B62E1F">
      <w:r>
        <w:t>Ma cabane à Canala. Josiane Hari</w:t>
      </w:r>
    </w:p>
    <w:p w14:paraId="097DAD65" w14:textId="77777777" w:rsidR="00B62E1F" w:rsidRPr="00B62E1F" w:rsidRDefault="00B62E1F" w:rsidP="00B62E1F">
      <w:r w:rsidRPr="00B62E1F">
        <w:t>Prévenir et aider à résoudre les difficultés d’appr</w:t>
      </w:r>
      <w:r w:rsidR="00924CE4">
        <w:t xml:space="preserve">entissage en milieu plurilingue. </w:t>
      </w:r>
      <w:r w:rsidRPr="00B62E1F">
        <w:t>Sy</w:t>
      </w:r>
      <w:r w:rsidR="00924CE4">
        <w:t>lvie Menendez et Jean-Luc Guyot</w:t>
      </w:r>
    </w:p>
    <w:p w14:paraId="3571BB88" w14:textId="77777777" w:rsidR="00B62E1F" w:rsidRPr="00B62E1F" w:rsidRDefault="00B62E1F" w:rsidP="00B62E1F">
      <w:r w:rsidRPr="00B62E1F">
        <w:t>Les élèves des classes d’</w:t>
      </w:r>
      <w:r w:rsidR="003746D6">
        <w:t xml:space="preserve">accueil du collège La canopée. </w:t>
      </w:r>
      <w:r w:rsidRPr="00B62E1F">
        <w:t>Marie-Hélèn</w:t>
      </w:r>
      <w:r w:rsidR="003746D6">
        <w:t>e Jacobs</w:t>
      </w:r>
    </w:p>
    <w:p w14:paraId="673420F4" w14:textId="77777777" w:rsidR="00B62E1F" w:rsidRPr="00B62E1F" w:rsidRDefault="00B62E1F" w:rsidP="00B62E1F">
      <w:r w:rsidRPr="00B62E1F">
        <w:t xml:space="preserve">Appuyer le travail à l’écrit sur un renforcement des compétences </w:t>
      </w:r>
      <w:r w:rsidR="003746D6">
        <w:t>orales, en milieu plurilingue. Zoubert Allaoui</w:t>
      </w:r>
    </w:p>
    <w:p w14:paraId="55E11498" w14:textId="77777777" w:rsidR="00B62E1F" w:rsidRPr="00B62E1F" w:rsidRDefault="00B62E1F" w:rsidP="00B62E1F">
      <w:r w:rsidRPr="00B62E1F">
        <w:t>Sur la mise en jeu des origines culturelles et l</w:t>
      </w:r>
      <w:r w:rsidR="003746D6">
        <w:t xml:space="preserve">angagières dans l’apprentissage. </w:t>
      </w:r>
      <w:r w:rsidRPr="00B62E1F">
        <w:t>Maria Car</w:t>
      </w:r>
      <w:r w:rsidR="003746D6">
        <w:t>olina Yazbek Gonçalves da Silva</w:t>
      </w:r>
    </w:p>
    <w:p w14:paraId="36DFF0E6" w14:textId="77777777" w:rsidR="00B62E1F" w:rsidRPr="00B62E1F" w:rsidRDefault="00B62E1F" w:rsidP="00B62E1F">
      <w:r w:rsidRPr="00B62E1F">
        <w:t>La prévention des difficultés scolaires en milieu plurilinguistique et pluriculturel : sur une</w:t>
      </w:r>
      <w:r w:rsidR="003746D6">
        <w:t xml:space="preserve"> expérimentation à Madagascar. Alain Vidal</w:t>
      </w:r>
    </w:p>
    <w:p w14:paraId="48296DB0" w14:textId="77777777" w:rsidR="00B62E1F" w:rsidRPr="00B62E1F" w:rsidRDefault="00B62E1F" w:rsidP="00B62E1F">
      <w:r w:rsidRPr="00B62E1F">
        <w:t>Recontextualiser l’appre</w:t>
      </w:r>
      <w:r w:rsidR="003746D6">
        <w:t>ntissage de la langue d’école. Nathalie Armella-Gautier</w:t>
      </w:r>
    </w:p>
    <w:p w14:paraId="7861D35F" w14:textId="77777777" w:rsidR="00B62E1F" w:rsidRPr="00B62E1F" w:rsidRDefault="00B62E1F" w:rsidP="00B62E1F">
      <w:r w:rsidRPr="00B62E1F">
        <w:t>La prise en compte de la diversité linguistique et culturelle des élèves en Se</w:t>
      </w:r>
      <w:r w:rsidR="003746D6">
        <w:t>gpa dans l’ouest de la Guyane. Ghislaine Thomas</w:t>
      </w:r>
    </w:p>
    <w:p w14:paraId="5BF6ECEE" w14:textId="77777777" w:rsidR="00B62E1F" w:rsidRPr="00B62E1F" w:rsidRDefault="003746D6" w:rsidP="003746D6">
      <w:pPr>
        <w:pStyle w:val="Titre2"/>
      </w:pPr>
      <w:r>
        <w:t>Études et formations</w:t>
      </w:r>
    </w:p>
    <w:p w14:paraId="2AEC4566" w14:textId="77777777" w:rsidR="00B62E1F" w:rsidRPr="00B62E1F" w:rsidRDefault="00B62E1F" w:rsidP="00B62E1F">
      <w:r w:rsidRPr="00B62E1F">
        <w:t>L’illusion inclusi</w:t>
      </w:r>
      <w:r w:rsidR="003746D6">
        <w:t>ve ou le paradigme artificiel. Jean-Marie Gillig</w:t>
      </w:r>
    </w:p>
    <w:p w14:paraId="452F12DA" w14:textId="77777777" w:rsidR="00B62E1F" w:rsidRPr="00B62E1F" w:rsidRDefault="003746D6" w:rsidP="003746D6">
      <w:pPr>
        <w:pStyle w:val="Titre2"/>
      </w:pPr>
      <w:r>
        <w:t>Pédagogie et psychopédagogie</w:t>
      </w:r>
    </w:p>
    <w:p w14:paraId="39F302E6" w14:textId="77777777" w:rsidR="00B62E1F" w:rsidRPr="00B62E1F" w:rsidRDefault="00B62E1F" w:rsidP="00B62E1F">
      <w:r w:rsidRPr="00B62E1F">
        <w:t>Réconcilier neuropsychologie et p</w:t>
      </w:r>
      <w:r w:rsidR="003746D6">
        <w:t xml:space="preserve">édagogie ? </w:t>
      </w:r>
      <w:r w:rsidRPr="00B62E1F">
        <w:t>Marie-Anne Sandri</w:t>
      </w:r>
      <w:r w:rsidR="003746D6">
        <w:t>n-Bui et José Seknadjé-Askénazi</w:t>
      </w:r>
    </w:p>
    <w:p w14:paraId="3AC2F2E5" w14:textId="77777777" w:rsidR="00B62E1F" w:rsidRPr="00B62E1F" w:rsidRDefault="003746D6" w:rsidP="003746D6">
      <w:pPr>
        <w:pStyle w:val="Titre2"/>
      </w:pPr>
      <w:r>
        <w:t>NTIC</w:t>
      </w:r>
    </w:p>
    <w:p w14:paraId="63ECFDA7" w14:textId="77777777" w:rsidR="00B62E1F" w:rsidRPr="00B62E1F" w:rsidRDefault="00B62E1F" w:rsidP="00B62E1F">
      <w:r w:rsidRPr="00B62E1F">
        <w:t>À propos de l’utilisation des Tice et de la mise en place du B2i en Segp</w:t>
      </w:r>
      <w:r w:rsidR="003746D6">
        <w:t xml:space="preserve">a : pratiques et perspectives. </w:t>
      </w:r>
      <w:r w:rsidRPr="00B62E1F">
        <w:t>Daniel Jacque</w:t>
      </w:r>
      <w:r w:rsidR="003746D6">
        <w:t>t, David Joumel, Fernand Krauth</w:t>
      </w:r>
    </w:p>
    <w:p w14:paraId="15CBCDEE" w14:textId="77777777" w:rsidR="00B62E1F" w:rsidRPr="00B62E1F" w:rsidRDefault="00B62E1F" w:rsidP="003746D6">
      <w:pPr>
        <w:pStyle w:val="Titre2"/>
      </w:pPr>
      <w:r w:rsidRPr="00B62E1F">
        <w:t>Politiques et institutions éducatives</w:t>
      </w:r>
    </w:p>
    <w:p w14:paraId="46A7EA45" w14:textId="5E8B7574" w:rsidR="00B62E1F" w:rsidRPr="00B62E1F" w:rsidRDefault="00B62E1F" w:rsidP="00B62E1F">
      <w:r w:rsidRPr="00B62E1F">
        <w:t xml:space="preserve">La préparation par alternance et en cours d’exercice au Capa-SH. Conceptualisation et mise en </w:t>
      </w:r>
      <w:r w:rsidR="0039269C">
        <w:t>œuvre</w:t>
      </w:r>
      <w:r w:rsidR="003746D6">
        <w:t xml:space="preserve"> dans l’académie de Lille. </w:t>
      </w:r>
      <w:r w:rsidRPr="00B62E1F">
        <w:t>Jean-Jacques C</w:t>
      </w:r>
      <w:r w:rsidR="003746D6">
        <w:t>arpentier et Emmanuelle Vincent</w:t>
      </w:r>
    </w:p>
    <w:p w14:paraId="32D3257F" w14:textId="77777777" w:rsidR="00B62E1F" w:rsidRPr="00B62E1F" w:rsidRDefault="003746D6" w:rsidP="003746D6">
      <w:pPr>
        <w:pStyle w:val="Titre2"/>
      </w:pPr>
      <w:r>
        <w:lastRenderedPageBreak/>
        <w:t>L’international</w:t>
      </w:r>
    </w:p>
    <w:p w14:paraId="6952371A" w14:textId="77777777" w:rsidR="00B62E1F" w:rsidRPr="00B62E1F" w:rsidRDefault="00B62E1F" w:rsidP="00B62E1F">
      <w:r w:rsidRPr="00B62E1F">
        <w:t>La prise en charge pré</w:t>
      </w:r>
      <w:r w:rsidR="003746D6">
        <w:t xml:space="preserve">coce de l'enfance en Autriche. </w:t>
      </w:r>
      <w:r w:rsidRPr="00B62E1F">
        <w:t>Manfre</w:t>
      </w:r>
      <w:r w:rsidR="003746D6">
        <w:t>d Pretis</w:t>
      </w:r>
    </w:p>
    <w:p w14:paraId="1218C29B" w14:textId="77777777" w:rsidR="00B62E1F" w:rsidRPr="00B62E1F" w:rsidRDefault="003746D6" w:rsidP="003746D6">
      <w:pPr>
        <w:pStyle w:val="Titre2"/>
      </w:pPr>
      <w:r>
        <w:t>Lire, voir, entendre</w:t>
      </w:r>
    </w:p>
    <w:p w14:paraId="5AEE65D6" w14:textId="77777777" w:rsidR="00B62E1F" w:rsidRPr="00B62E1F" w:rsidRDefault="003746D6" w:rsidP="00B62E1F">
      <w:r>
        <w:t>Comptes rendus de lecture</w:t>
      </w:r>
    </w:p>
    <w:p w14:paraId="06C59F0F" w14:textId="77777777" w:rsidR="00CF08CD" w:rsidRPr="00B62E1F" w:rsidRDefault="00B62E1F" w:rsidP="00B62E1F">
      <w:r w:rsidRPr="00B62E1F">
        <w:t>Parutions récente</w:t>
      </w:r>
    </w:p>
    <w:sectPr w:rsidR="00CF08CD" w:rsidRPr="00B62E1F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B19CE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2237BF"/>
    <w:rsid w:val="00224528"/>
    <w:rsid w:val="00281EA7"/>
    <w:rsid w:val="002A1403"/>
    <w:rsid w:val="002A715C"/>
    <w:rsid w:val="002B5B54"/>
    <w:rsid w:val="002B7A25"/>
    <w:rsid w:val="00314810"/>
    <w:rsid w:val="00323FA8"/>
    <w:rsid w:val="0032601D"/>
    <w:rsid w:val="00327F86"/>
    <w:rsid w:val="0034458B"/>
    <w:rsid w:val="003608C3"/>
    <w:rsid w:val="00373C1D"/>
    <w:rsid w:val="003746D6"/>
    <w:rsid w:val="0037681C"/>
    <w:rsid w:val="0039269C"/>
    <w:rsid w:val="00397396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24CE4"/>
    <w:rsid w:val="00934D76"/>
    <w:rsid w:val="009365C8"/>
    <w:rsid w:val="00942127"/>
    <w:rsid w:val="009471DD"/>
    <w:rsid w:val="0095067A"/>
    <w:rsid w:val="00952B2E"/>
    <w:rsid w:val="009543AC"/>
    <w:rsid w:val="00954BE1"/>
    <w:rsid w:val="00956142"/>
    <w:rsid w:val="00974CE4"/>
    <w:rsid w:val="0098661E"/>
    <w:rsid w:val="009A2397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8232B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2540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42127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127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1789</Characters>
  <Application>Microsoft Office Word</Application>
  <DocSecurity>0</DocSecurity>
  <Lines>41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36, 4e trimestre 2006</vt:lpstr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36, 4e trimestre 2006</dc:title>
  <dc:subject/>
  <dc:creator>Pôle Publications, pôle Ressources de l'INSEI</dc:creator>
  <cp:keywords/>
  <dc:description/>
  <cp:lastModifiedBy>Vincent Le Calvez</cp:lastModifiedBy>
  <cp:revision>8</cp:revision>
  <dcterms:created xsi:type="dcterms:W3CDTF">2025-02-14T14:54:00Z</dcterms:created>
  <dcterms:modified xsi:type="dcterms:W3CDTF">2025-02-16T18:21:00Z</dcterms:modified>
  <cp:category/>
</cp:coreProperties>
</file>