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24D2" w14:textId="06538404" w:rsidR="00D201E3" w:rsidRPr="008175CA" w:rsidRDefault="00A813A3" w:rsidP="00092CB4">
      <w:pPr>
        <w:pStyle w:val="Titre1"/>
      </w:pPr>
      <w:r>
        <w:t xml:space="preserve">Sommaire de </w:t>
      </w:r>
      <w:r w:rsidR="007559EC" w:rsidRPr="00A813A3">
        <w:rPr>
          <w:i/>
          <w:iCs/>
        </w:rPr>
        <w:t>La nouvelle revue de l’AIS</w:t>
      </w:r>
      <w:r>
        <w:t xml:space="preserve"> </w:t>
      </w:r>
      <w:r w:rsidR="007559EC">
        <w:br/>
      </w:r>
      <w:r w:rsidR="00D201E3" w:rsidRPr="008175CA">
        <w:t>N° 13</w:t>
      </w:r>
      <w:r w:rsidR="00AC77AC">
        <w:t xml:space="preserve">, </w:t>
      </w:r>
      <w:r w:rsidR="00D201E3" w:rsidRPr="008175CA">
        <w:t>1</w:t>
      </w:r>
      <w:r w:rsidR="00D201E3" w:rsidRPr="00A813A3">
        <w:rPr>
          <w:rFonts w:cs="Times New Roman (Titres CS)"/>
          <w:vertAlign w:val="superscript"/>
        </w:rPr>
        <w:t>er</w:t>
      </w:r>
      <w:r w:rsidR="00D201E3" w:rsidRPr="008175CA">
        <w:t xml:space="preserve"> trimestre 2001</w:t>
      </w:r>
    </w:p>
    <w:p w14:paraId="5752343A" w14:textId="45C4416E" w:rsidR="00D201E3" w:rsidRPr="008175CA" w:rsidRDefault="00D201E3" w:rsidP="00092CB4">
      <w:r w:rsidRPr="008175CA">
        <w:t>Éditorial Hervé Benoit</w:t>
      </w:r>
    </w:p>
    <w:p w14:paraId="07AA67CB" w14:textId="77777777" w:rsidR="00D201E3" w:rsidRPr="008175CA" w:rsidRDefault="00D201E3" w:rsidP="00092CB4">
      <w:pPr>
        <w:pStyle w:val="Titre2"/>
      </w:pPr>
      <w:r w:rsidRPr="008175CA">
        <w:t>Dossier L’autoformation</w:t>
      </w:r>
    </w:p>
    <w:p w14:paraId="2F5C9E9B" w14:textId="77777777" w:rsidR="00D201E3" w:rsidRPr="008175CA" w:rsidRDefault="00092CB4" w:rsidP="008175CA">
      <w:r>
        <w:t>Présentation du dossier. Jeanne-Marie Laurent</w:t>
      </w:r>
    </w:p>
    <w:p w14:paraId="0F3D5B35" w14:textId="0CA80E2C" w:rsidR="00D201E3" w:rsidRPr="008175CA" w:rsidRDefault="00D201E3" w:rsidP="008175CA">
      <w:r w:rsidRPr="008175CA">
        <w:t>L’histoire</w:t>
      </w:r>
      <w:r w:rsidR="00092CB4">
        <w:t xml:space="preserve"> récente d’un vieux phénomène l’autoformation</w:t>
      </w:r>
      <w:r w:rsidR="000A25DB">
        <w:t xml:space="preserve">. </w:t>
      </w:r>
      <w:r w:rsidRPr="008175CA">
        <w:t xml:space="preserve">Nicole Anne Tremblay </w:t>
      </w:r>
    </w:p>
    <w:p w14:paraId="3FE0AAE3" w14:textId="77777777" w:rsidR="00D201E3" w:rsidRPr="008175CA" w:rsidRDefault="00D201E3" w:rsidP="008175CA">
      <w:r w:rsidRPr="008175CA">
        <w:t>L’aide à l’autoformation dans les mouvements pédagogi</w:t>
      </w:r>
      <w:r w:rsidR="00092CB4">
        <w:t xml:space="preserve">ques et d’éducation populaire. </w:t>
      </w:r>
      <w:r w:rsidRPr="008175CA">
        <w:t>Christian Leray</w:t>
      </w:r>
    </w:p>
    <w:p w14:paraId="2908ADDE" w14:textId="77777777" w:rsidR="00D201E3" w:rsidRPr="008175CA" w:rsidRDefault="00D201E3" w:rsidP="008175CA">
      <w:r w:rsidRPr="008175CA">
        <w:t>Tous les c</w:t>
      </w:r>
      <w:r w:rsidR="00092CB4">
        <w:t xml:space="preserve">hemins mènent à l’autoformation. Gérard </w:t>
      </w:r>
      <w:proofErr w:type="spellStart"/>
      <w:r w:rsidR="00092CB4">
        <w:t>Mlekuz</w:t>
      </w:r>
      <w:proofErr w:type="spellEnd"/>
    </w:p>
    <w:p w14:paraId="4D02EA99" w14:textId="77777777" w:rsidR="00D201E3" w:rsidRPr="008175CA" w:rsidRDefault="00D201E3" w:rsidP="008175CA">
      <w:r w:rsidRPr="008175CA">
        <w:t xml:space="preserve">CAAPSAIS </w:t>
      </w:r>
      <w:r w:rsidR="00092CB4">
        <w:t>et autoformation. Dominique Millet</w:t>
      </w:r>
    </w:p>
    <w:p w14:paraId="03EEDE54" w14:textId="77777777" w:rsidR="00D201E3" w:rsidRPr="008175CA" w:rsidRDefault="00D201E3" w:rsidP="008175CA">
      <w:r w:rsidRPr="008175CA">
        <w:t>Accompagner l’autoformation, une démarche e</w:t>
      </w:r>
      <w:r w:rsidR="00092CB4">
        <w:t xml:space="preserve">t ses variantes </w:t>
      </w:r>
      <w:r w:rsidRPr="008175CA">
        <w:t>didac</w:t>
      </w:r>
      <w:r w:rsidR="00092CB4">
        <w:t>tique, pratique et symbolique. Pascal Galvani</w:t>
      </w:r>
    </w:p>
    <w:p w14:paraId="7DD401D2" w14:textId="77777777" w:rsidR="00D201E3" w:rsidRPr="008175CA" w:rsidRDefault="00D201E3" w:rsidP="008175CA">
      <w:r w:rsidRPr="008175CA">
        <w:t>Implication, communication, réflexivité</w:t>
      </w:r>
      <w:r w:rsidR="00FB6F33">
        <w:t xml:space="preserve">. </w:t>
      </w:r>
      <w:r w:rsidRPr="008175CA">
        <w:t>Du désir d’apprendre aujourd’hu</w:t>
      </w:r>
      <w:r w:rsidR="00493DC5">
        <w:t>i au désir d’apprendre demain. Claude Lancelot</w:t>
      </w:r>
    </w:p>
    <w:p w14:paraId="4956D62A" w14:textId="77777777" w:rsidR="00D201E3" w:rsidRPr="008175CA" w:rsidRDefault="00D201E3" w:rsidP="008175CA">
      <w:r w:rsidRPr="008175CA">
        <w:t>Éducation et formation au XXI</w:t>
      </w:r>
      <w:r w:rsidRPr="000A25DB">
        <w:rPr>
          <w:rFonts w:cs="Times New Roman (Corps CS)"/>
          <w:vertAlign w:val="superscript"/>
        </w:rPr>
        <w:t>e</w:t>
      </w:r>
      <w:r w:rsidRPr="008175CA">
        <w:t xml:space="preserve"> siècle. Principe d’associa</w:t>
      </w:r>
      <w:r w:rsidR="00493DC5">
        <w:t xml:space="preserve">tion et association de savoirs. </w:t>
      </w:r>
      <w:r w:rsidRPr="008175CA">
        <w:t xml:space="preserve">Claudine </w:t>
      </w:r>
      <w:proofErr w:type="spellStart"/>
      <w:r w:rsidRPr="008175CA">
        <w:t>Brouard</w:t>
      </w:r>
      <w:proofErr w:type="spellEnd"/>
    </w:p>
    <w:p w14:paraId="2362F349" w14:textId="77777777" w:rsidR="00D201E3" w:rsidRPr="008175CA" w:rsidRDefault="00493DC5" w:rsidP="008175CA">
      <w:r>
        <w:t>Clinique de l’autoformation. Bernard Gaillard</w:t>
      </w:r>
    </w:p>
    <w:p w14:paraId="261BEBD2" w14:textId="298706B6" w:rsidR="00D201E3" w:rsidRPr="008175CA" w:rsidRDefault="00D201E3" w:rsidP="008175CA">
      <w:r w:rsidRPr="008175CA">
        <w:t xml:space="preserve">Les TIC dans une formation à </w:t>
      </w:r>
      <w:r w:rsidR="00493DC5">
        <w:t xml:space="preserve">distance : </w:t>
      </w:r>
      <w:r w:rsidRPr="008175CA">
        <w:t>q</w:t>
      </w:r>
      <w:r w:rsidR="00493DC5">
        <w:t>uelle aide à l’autoformation</w:t>
      </w:r>
      <w:r w:rsidR="006905A1">
        <w:t> </w:t>
      </w:r>
      <w:r w:rsidR="00493DC5">
        <w:t xml:space="preserve">? </w:t>
      </w:r>
      <w:r w:rsidRPr="008175CA">
        <w:t>Gisèle Tessier</w:t>
      </w:r>
    </w:p>
    <w:p w14:paraId="1832A8E4" w14:textId="77777777" w:rsidR="00D201E3" w:rsidRPr="008175CA" w:rsidRDefault="00D201E3" w:rsidP="008175CA">
      <w:r w:rsidRPr="008175CA">
        <w:t>L’autoformation dans les formations à distance</w:t>
      </w:r>
      <w:r w:rsidR="00FB6F33">
        <w:t xml:space="preserve">. </w:t>
      </w:r>
      <w:r w:rsidRPr="008175CA">
        <w:t>Point de vue des formateurs-conseillers pédagogiques AIS</w:t>
      </w:r>
      <w:r w:rsidR="00493DC5">
        <w:t xml:space="preserve"> et point de vue des stagiaires. </w:t>
      </w:r>
      <w:r w:rsidRPr="008175CA">
        <w:t xml:space="preserve">Claudine </w:t>
      </w:r>
      <w:proofErr w:type="spellStart"/>
      <w:r w:rsidRPr="008175CA">
        <w:t>Brouard</w:t>
      </w:r>
      <w:proofErr w:type="spellEnd"/>
      <w:r w:rsidRPr="008175CA">
        <w:t xml:space="preserve"> et Chantal Berthelot</w:t>
      </w:r>
    </w:p>
    <w:p w14:paraId="2CC47CD0" w14:textId="5222B0F5" w:rsidR="00D201E3" w:rsidRPr="008175CA" w:rsidRDefault="00D201E3" w:rsidP="008175CA">
      <w:r w:rsidRPr="008175CA">
        <w:t>Études dirigées et aides à l’autoformation. Sous la direction de Ch</w:t>
      </w:r>
      <w:r w:rsidR="00493DC5">
        <w:t xml:space="preserve">ristian Leray et Eugène </w:t>
      </w:r>
      <w:proofErr w:type="spellStart"/>
      <w:r w:rsidR="00493DC5">
        <w:t>Lecabec</w:t>
      </w:r>
      <w:proofErr w:type="spellEnd"/>
      <w:r w:rsidR="00052E40">
        <w:t xml:space="preserve">. </w:t>
      </w:r>
      <w:r w:rsidRPr="008175CA">
        <w:t>Compte rendu de lecture de Dominique Millet</w:t>
      </w:r>
    </w:p>
    <w:p w14:paraId="08F502F2" w14:textId="77777777" w:rsidR="00D201E3" w:rsidRPr="008175CA" w:rsidRDefault="00D201E3" w:rsidP="008175CA">
      <w:r w:rsidRPr="008175CA">
        <w:t>Fréquentation d’un centre de documentation, abonnement à une revue :</w:t>
      </w:r>
      <w:r w:rsidR="00FB6F33">
        <w:t xml:space="preserve"> </w:t>
      </w:r>
      <w:proofErr w:type="gramStart"/>
      <w:r w:rsidRPr="008175CA">
        <w:t>éléments</w:t>
      </w:r>
      <w:proofErr w:type="gramEnd"/>
      <w:r w:rsidRPr="008175CA">
        <w:t xml:space="preserve"> d’identité profe</w:t>
      </w:r>
      <w:r w:rsidR="00493DC5">
        <w:t xml:space="preserve">ssionnelle et d’autoformation ? </w:t>
      </w:r>
      <w:r w:rsidRPr="008175CA">
        <w:t>Dominique Lerch</w:t>
      </w:r>
    </w:p>
    <w:p w14:paraId="3A7EA70D" w14:textId="77777777" w:rsidR="00D201E3" w:rsidRPr="008175CA" w:rsidRDefault="00D201E3" w:rsidP="00493DC5">
      <w:pPr>
        <w:pStyle w:val="Titre2"/>
      </w:pPr>
      <w:r w:rsidRPr="008175CA">
        <w:t>Études et formations</w:t>
      </w:r>
    </w:p>
    <w:p w14:paraId="27DB6CD9" w14:textId="1F0BC31D" w:rsidR="00D201E3" w:rsidRPr="008175CA" w:rsidRDefault="00D201E3" w:rsidP="008175CA">
      <w:r w:rsidRPr="008175CA">
        <w:t>L’enfant sauvage de l’Aveyron</w:t>
      </w:r>
      <w:r w:rsidR="00D0313C">
        <w:t> </w:t>
      </w:r>
      <w:r w:rsidRPr="008175CA">
        <w:t>: Victor et l’éducation. De la mod</w:t>
      </w:r>
      <w:r w:rsidR="00493DC5">
        <w:t xml:space="preserve">ernité d’Itard et de Séguin. </w:t>
      </w:r>
      <w:r w:rsidRPr="008175CA">
        <w:t xml:space="preserve">Gloria </w:t>
      </w:r>
      <w:proofErr w:type="spellStart"/>
      <w:r w:rsidRPr="008175CA">
        <w:t>Laxer</w:t>
      </w:r>
      <w:proofErr w:type="spellEnd"/>
      <w:r w:rsidRPr="008175CA">
        <w:t xml:space="preserve"> et Dominique </w:t>
      </w:r>
      <w:proofErr w:type="spellStart"/>
      <w:r w:rsidRPr="008175CA">
        <w:t>Senore</w:t>
      </w:r>
      <w:proofErr w:type="spellEnd"/>
    </w:p>
    <w:p w14:paraId="27EB937B" w14:textId="77777777" w:rsidR="00D201E3" w:rsidRPr="008175CA" w:rsidRDefault="00D201E3" w:rsidP="00493DC5">
      <w:pPr>
        <w:pStyle w:val="Titre2"/>
      </w:pPr>
      <w:r w:rsidRPr="008175CA">
        <w:t>Pédagogie et psychopédagogie</w:t>
      </w:r>
    </w:p>
    <w:p w14:paraId="13859693" w14:textId="77777777" w:rsidR="00D201E3" w:rsidRPr="008175CA" w:rsidRDefault="00D201E3" w:rsidP="008175CA">
      <w:proofErr w:type="spellStart"/>
      <w:r w:rsidRPr="008175CA">
        <w:t>School</w:t>
      </w:r>
      <w:proofErr w:type="spellEnd"/>
      <w:r w:rsidRPr="008175CA">
        <w:t xml:space="preserve"> Practice 1</w:t>
      </w:r>
      <w:r w:rsidRPr="006905A1">
        <w:rPr>
          <w:rFonts w:cs="Times New Roman (Corps CS)"/>
          <w:vertAlign w:val="superscript"/>
        </w:rPr>
        <w:t xml:space="preserve">er </w:t>
      </w:r>
      <w:r w:rsidRPr="008175CA">
        <w:t>degré. Les pratiques sco</w:t>
      </w:r>
      <w:r w:rsidR="00493DC5">
        <w:t xml:space="preserve">laires intégrantes en France. </w:t>
      </w:r>
      <w:r w:rsidRPr="008175CA">
        <w:t xml:space="preserve">José </w:t>
      </w:r>
      <w:proofErr w:type="spellStart"/>
      <w:r w:rsidRPr="008175CA">
        <w:t>Seknadjé-Askénazi</w:t>
      </w:r>
      <w:proofErr w:type="spellEnd"/>
    </w:p>
    <w:p w14:paraId="06EE446C" w14:textId="77777777" w:rsidR="00D201E3" w:rsidRPr="008175CA" w:rsidRDefault="00D201E3" w:rsidP="00493DC5">
      <w:pPr>
        <w:pStyle w:val="Titre2"/>
      </w:pPr>
      <w:r w:rsidRPr="008175CA">
        <w:t>NTIC</w:t>
      </w:r>
    </w:p>
    <w:p w14:paraId="7DC38D7E" w14:textId="359F3169" w:rsidR="00D201E3" w:rsidRPr="008175CA" w:rsidRDefault="00D201E3" w:rsidP="008175CA">
      <w:r w:rsidRPr="008175CA">
        <w:t xml:space="preserve">Apports de l’informatique dans une prise en charge </w:t>
      </w:r>
      <w:r w:rsidR="00493DC5">
        <w:t xml:space="preserve">orthophonique de la dyslexie. </w:t>
      </w:r>
      <w:r w:rsidRPr="008175CA">
        <w:t>Yves Robert</w:t>
      </w:r>
    </w:p>
    <w:p w14:paraId="521805B2" w14:textId="77777777" w:rsidR="00D201E3" w:rsidRPr="008175CA" w:rsidRDefault="00493DC5" w:rsidP="008175CA">
      <w:r>
        <w:t xml:space="preserve">Brèves des NTIC. </w:t>
      </w:r>
      <w:r w:rsidR="00D201E3" w:rsidRPr="008175CA">
        <w:t xml:space="preserve">Daniel Jacquet </w:t>
      </w:r>
    </w:p>
    <w:p w14:paraId="7E9F5F4B" w14:textId="77777777" w:rsidR="00D201E3" w:rsidRPr="008175CA" w:rsidRDefault="00D201E3" w:rsidP="00493DC5">
      <w:pPr>
        <w:pStyle w:val="Titre2"/>
      </w:pPr>
      <w:r w:rsidRPr="008175CA">
        <w:lastRenderedPageBreak/>
        <w:t>Politiques et institutions éducatives</w:t>
      </w:r>
    </w:p>
    <w:p w14:paraId="4317B416" w14:textId="77777777" w:rsidR="00D201E3" w:rsidRPr="008175CA" w:rsidRDefault="00D201E3" w:rsidP="008175CA">
      <w:r w:rsidRPr="008175CA">
        <w:t xml:space="preserve">Le Plan d’action interministériel Dysphasies </w:t>
      </w:r>
      <w:r w:rsidR="00FB6F33">
        <w:t>–</w:t>
      </w:r>
      <w:r w:rsidRPr="008175CA">
        <w:t xml:space="preserve"> Dyslexies</w:t>
      </w:r>
      <w:r w:rsidR="00FB6F33">
        <w:t xml:space="preserve"> </w:t>
      </w:r>
      <w:r w:rsidRPr="008175CA">
        <w:t>à destination des enfants affectés par un t</w:t>
      </w:r>
      <w:r w:rsidR="00493DC5">
        <w:t xml:space="preserve">rouble spécifique du langage. </w:t>
      </w:r>
      <w:r w:rsidRPr="008175CA">
        <w:t xml:space="preserve">José </w:t>
      </w:r>
      <w:proofErr w:type="spellStart"/>
      <w:r w:rsidRPr="008175CA">
        <w:t>Seknadjé-Askénazi</w:t>
      </w:r>
      <w:proofErr w:type="spellEnd"/>
    </w:p>
    <w:p w14:paraId="7F6482EF" w14:textId="77777777" w:rsidR="00D201E3" w:rsidRPr="008175CA" w:rsidRDefault="00D201E3" w:rsidP="008175CA">
      <w:r w:rsidRPr="008175CA">
        <w:t>L’éd</w:t>
      </w:r>
      <w:r w:rsidR="00493DC5">
        <w:t>ucation familiale aujourd’hui. Daniel Gayet</w:t>
      </w:r>
    </w:p>
    <w:p w14:paraId="4E000DF3" w14:textId="77777777" w:rsidR="00D201E3" w:rsidRPr="008175CA" w:rsidRDefault="00D201E3" w:rsidP="0025194A">
      <w:pPr>
        <w:pStyle w:val="Titre2"/>
      </w:pPr>
      <w:r w:rsidRPr="008175CA">
        <w:t>International</w:t>
      </w:r>
    </w:p>
    <w:p w14:paraId="7323F851" w14:textId="77777777" w:rsidR="00D201E3" w:rsidRPr="008175CA" w:rsidRDefault="00D201E3" w:rsidP="008175CA">
      <w:r w:rsidRPr="008175CA">
        <w:t>Enseignement spécial en Europe. Structures, histori</w:t>
      </w:r>
      <w:r w:rsidR="0025194A">
        <w:t>que, formation des enseignants…</w:t>
      </w:r>
    </w:p>
    <w:p w14:paraId="45FA41D9" w14:textId="77777777" w:rsidR="00D201E3" w:rsidRPr="008175CA" w:rsidRDefault="00D201E3" w:rsidP="0025194A">
      <w:pPr>
        <w:pStyle w:val="Titre2"/>
      </w:pPr>
      <w:r w:rsidRPr="008175CA">
        <w:t>Lire, voir, entendre</w:t>
      </w:r>
    </w:p>
    <w:p w14:paraId="2CBCF694" w14:textId="77777777" w:rsidR="00D201E3" w:rsidRPr="008175CA" w:rsidRDefault="00D201E3" w:rsidP="008175CA">
      <w:r w:rsidRPr="008175CA">
        <w:t>Comptes</w:t>
      </w:r>
      <w:r w:rsidR="0025194A">
        <w:t xml:space="preserve"> rendus de lecture</w:t>
      </w:r>
    </w:p>
    <w:p w14:paraId="684C4FF3" w14:textId="77777777" w:rsidR="00CF08CD" w:rsidRPr="008175CA" w:rsidRDefault="0025194A" w:rsidP="008175CA">
      <w:r>
        <w:t>Parutions récentes</w:t>
      </w:r>
    </w:p>
    <w:sectPr w:rsidR="00CF08CD" w:rsidRPr="008175CA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2E40"/>
    <w:rsid w:val="00054512"/>
    <w:rsid w:val="00092CB4"/>
    <w:rsid w:val="000A25DB"/>
    <w:rsid w:val="000B023F"/>
    <w:rsid w:val="000C7CCE"/>
    <w:rsid w:val="000D051A"/>
    <w:rsid w:val="000E464E"/>
    <w:rsid w:val="001074FA"/>
    <w:rsid w:val="0013297A"/>
    <w:rsid w:val="00156315"/>
    <w:rsid w:val="00166C2D"/>
    <w:rsid w:val="00173723"/>
    <w:rsid w:val="001D4102"/>
    <w:rsid w:val="002237BF"/>
    <w:rsid w:val="00224528"/>
    <w:rsid w:val="0025194A"/>
    <w:rsid w:val="00281EA7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F41B2"/>
    <w:rsid w:val="00406E84"/>
    <w:rsid w:val="00455B7B"/>
    <w:rsid w:val="00483311"/>
    <w:rsid w:val="004835A2"/>
    <w:rsid w:val="00493DC5"/>
    <w:rsid w:val="004B1E44"/>
    <w:rsid w:val="004C7469"/>
    <w:rsid w:val="004E41E3"/>
    <w:rsid w:val="0055155D"/>
    <w:rsid w:val="0057220C"/>
    <w:rsid w:val="00583B69"/>
    <w:rsid w:val="00596DB2"/>
    <w:rsid w:val="005C00B1"/>
    <w:rsid w:val="005C774B"/>
    <w:rsid w:val="005D5169"/>
    <w:rsid w:val="005E398B"/>
    <w:rsid w:val="00602A68"/>
    <w:rsid w:val="006905A1"/>
    <w:rsid w:val="00695EA5"/>
    <w:rsid w:val="006A6067"/>
    <w:rsid w:val="006C2FCA"/>
    <w:rsid w:val="00713831"/>
    <w:rsid w:val="007559EC"/>
    <w:rsid w:val="007823A3"/>
    <w:rsid w:val="00786A7D"/>
    <w:rsid w:val="007A456B"/>
    <w:rsid w:val="007F7283"/>
    <w:rsid w:val="008175CA"/>
    <w:rsid w:val="00852EBF"/>
    <w:rsid w:val="00871BD2"/>
    <w:rsid w:val="00873C6E"/>
    <w:rsid w:val="00887A4B"/>
    <w:rsid w:val="008A0D03"/>
    <w:rsid w:val="008B0A8E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87F4B"/>
    <w:rsid w:val="009D1FE4"/>
    <w:rsid w:val="009F12E6"/>
    <w:rsid w:val="00A2593E"/>
    <w:rsid w:val="00A62A22"/>
    <w:rsid w:val="00A813A3"/>
    <w:rsid w:val="00AA50C7"/>
    <w:rsid w:val="00AC4562"/>
    <w:rsid w:val="00AC5B3F"/>
    <w:rsid w:val="00AC77AC"/>
    <w:rsid w:val="00AD4E8A"/>
    <w:rsid w:val="00AE4503"/>
    <w:rsid w:val="00B10AEF"/>
    <w:rsid w:val="00B45667"/>
    <w:rsid w:val="00B55199"/>
    <w:rsid w:val="00B65A53"/>
    <w:rsid w:val="00BC4E7D"/>
    <w:rsid w:val="00BE00EE"/>
    <w:rsid w:val="00C45FA4"/>
    <w:rsid w:val="00C71ACF"/>
    <w:rsid w:val="00C852A0"/>
    <w:rsid w:val="00CA09B1"/>
    <w:rsid w:val="00CA22E6"/>
    <w:rsid w:val="00CB07E5"/>
    <w:rsid w:val="00CE6051"/>
    <w:rsid w:val="00CF08CD"/>
    <w:rsid w:val="00D009CB"/>
    <w:rsid w:val="00D0313C"/>
    <w:rsid w:val="00D201E3"/>
    <w:rsid w:val="00D34C3A"/>
    <w:rsid w:val="00D3592A"/>
    <w:rsid w:val="00D36E81"/>
    <w:rsid w:val="00D43BAF"/>
    <w:rsid w:val="00D821CB"/>
    <w:rsid w:val="00D84907"/>
    <w:rsid w:val="00DF03A0"/>
    <w:rsid w:val="00DF7CFB"/>
    <w:rsid w:val="00E0019E"/>
    <w:rsid w:val="00E516F8"/>
    <w:rsid w:val="00E633A4"/>
    <w:rsid w:val="00E67922"/>
    <w:rsid w:val="00EA4879"/>
    <w:rsid w:val="00EC53C1"/>
    <w:rsid w:val="00ED2E39"/>
    <w:rsid w:val="00EF4870"/>
    <w:rsid w:val="00F01EEC"/>
    <w:rsid w:val="00F43D28"/>
    <w:rsid w:val="00F45C6E"/>
    <w:rsid w:val="00F6324F"/>
    <w:rsid w:val="00F75E92"/>
    <w:rsid w:val="00F8539E"/>
    <w:rsid w:val="00FB6F33"/>
    <w:rsid w:val="00FC3338"/>
    <w:rsid w:val="00FD6C6C"/>
    <w:rsid w:val="00FE3891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382B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1890</Characters>
  <Application>Microsoft Office Word</Application>
  <DocSecurity>0</DocSecurity>
  <Lines>47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1-2, juin 1998</vt:lpstr>
    </vt:vector>
  </TitlesOfParts>
  <Manager/>
  <Company/>
  <LinksUpToDate>false</LinksUpToDate>
  <CharactersWithSpaces>2138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 de l'adaptation et de la scolarisation. Numéro 13, 1er trimestre 2001</dc:title>
  <dc:subject/>
  <dc:creator>Pôle Publications, pôle Ressources de l'INSEI</dc:creator>
  <cp:keywords/>
  <dc:description/>
  <cp:lastModifiedBy>Vincent Le Calvez</cp:lastModifiedBy>
  <cp:revision>24</cp:revision>
  <dcterms:created xsi:type="dcterms:W3CDTF">2025-02-13T08:23:00Z</dcterms:created>
  <dcterms:modified xsi:type="dcterms:W3CDTF">2025-02-13T09:14:00Z</dcterms:modified>
  <cp:category/>
</cp:coreProperties>
</file>